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8FBF521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bookmarkStart w:id="0" w:name="_GoBack"/>
      <w:bookmarkEnd w:id="0"/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6E4913E4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A37853">
        <w:rPr>
          <w:rFonts w:ascii="Arial" w:hAnsi="Arial" w:cs="Arial"/>
          <w:b/>
        </w:rPr>
        <w:t>I</w:t>
      </w:r>
      <w:r w:rsidR="00960BAD" w:rsidRPr="00960BAD">
        <w:rPr>
          <w:rFonts w:ascii="Arial" w:hAnsi="Arial" w:cs="Arial"/>
          <w:b/>
        </w:rPr>
        <w:t>II/</w:t>
      </w:r>
      <w:r w:rsidR="00200658">
        <w:rPr>
          <w:rFonts w:ascii="Arial" w:hAnsi="Arial" w:cs="Arial"/>
          <w:b/>
        </w:rPr>
        <w:t>3</w:t>
      </w:r>
      <w:r w:rsidR="00A37853">
        <w:rPr>
          <w:rFonts w:ascii="Arial" w:hAnsi="Arial" w:cs="Arial"/>
          <w:b/>
        </w:rPr>
        <w:t>928 Velká Bíteš – rekonstrukce násypu</w:t>
      </w:r>
      <w:r w:rsidR="00827D8E" w:rsidRPr="009A50B9">
        <w:rPr>
          <w:rFonts w:ascii="Arial" w:hAnsi="Arial" w:cs="Arial"/>
          <w:b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5A0836D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A37853">
        <w:rPr>
          <w:rFonts w:ascii="Arial" w:eastAsia="MS Mincho" w:hAnsi="Arial" w:cs="Arial"/>
          <w:b/>
          <w:sz w:val="22"/>
        </w:rPr>
        <w:t>Město Velká Bíteš</w:t>
      </w:r>
    </w:p>
    <w:p w14:paraId="70729BCC" w14:textId="04B4F853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A37853">
        <w:rPr>
          <w:rFonts w:ascii="Arial" w:eastAsia="MS Mincho" w:hAnsi="Arial" w:cs="Arial"/>
          <w:sz w:val="22"/>
        </w:rPr>
        <w:t>Masarykovo náměstí 87, 595 01 Velká Bíteš</w:t>
      </w:r>
    </w:p>
    <w:p w14:paraId="22C45E63" w14:textId="785A1C98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A37853">
        <w:rPr>
          <w:rFonts w:ascii="Arial" w:eastAsia="MS Mincho" w:hAnsi="Arial" w:cs="Arial"/>
          <w:sz w:val="22"/>
        </w:rPr>
        <w:t>Ing. Milanem Vlčkem, starostou</w:t>
      </w:r>
    </w:p>
    <w:p w14:paraId="7BA49C17" w14:textId="35C589BB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A37853">
        <w:rPr>
          <w:rFonts w:ascii="Arial" w:eastAsia="MS Mincho" w:hAnsi="Arial" w:cs="Arial"/>
        </w:rPr>
        <w:t>Pavel Bednář</w:t>
      </w:r>
    </w:p>
    <w:p w14:paraId="75051171" w14:textId="0E45C2E4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A37853">
        <w:rPr>
          <w:rFonts w:ascii="Arial" w:hAnsi="Arial" w:cs="Arial"/>
        </w:rPr>
        <w:t>Komerční banka,</w:t>
      </w:r>
      <w:r w:rsidR="00A4398A" w:rsidRPr="009A50B9">
        <w:rPr>
          <w:rFonts w:ascii="Arial" w:hAnsi="Arial" w:cs="Arial"/>
        </w:rPr>
        <w:t xml:space="preserve"> a.s., pobočka </w:t>
      </w:r>
      <w:r w:rsidR="00A37853">
        <w:rPr>
          <w:rFonts w:ascii="Arial" w:hAnsi="Arial" w:cs="Arial"/>
        </w:rPr>
        <w:t>Žďár nad Sázavou</w:t>
      </w:r>
    </w:p>
    <w:p w14:paraId="5E7B1C40" w14:textId="21E3CAF5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A37853">
        <w:rPr>
          <w:rFonts w:ascii="Arial" w:hAnsi="Arial" w:cs="Arial"/>
        </w:rPr>
        <w:t>1726751/0100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0A8A6EBF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="00A37853">
        <w:rPr>
          <w:rFonts w:ascii="Arial" w:eastAsia="MS Mincho" w:hAnsi="Arial" w:cs="Arial"/>
        </w:rPr>
        <w:t>00295647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E7671FE" w14:textId="60F16E48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151DAE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B29E06E" w14:textId="1B633D69" w:rsidR="007D11CB" w:rsidRPr="00151DAE" w:rsidRDefault="00D96E79" w:rsidP="00A11623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151DAE">
        <w:rPr>
          <w:rFonts w:ascii="Arial" w:hAnsi="Arial" w:cs="Arial"/>
          <w:spacing w:val="4"/>
          <w:sz w:val="22"/>
        </w:rPr>
        <w:t>Předmětem</w:t>
      </w:r>
      <w:r w:rsidR="00AF208A" w:rsidRPr="00151DAE">
        <w:rPr>
          <w:rFonts w:ascii="Arial" w:hAnsi="Arial" w:cs="Arial"/>
          <w:spacing w:val="4"/>
          <w:sz w:val="22"/>
        </w:rPr>
        <w:t xml:space="preserve"> smlouvy</w:t>
      </w:r>
      <w:r w:rsidRPr="00151DAE">
        <w:rPr>
          <w:rFonts w:ascii="Arial" w:hAnsi="Arial" w:cs="Arial"/>
          <w:spacing w:val="4"/>
          <w:sz w:val="22"/>
        </w:rPr>
        <w:t xml:space="preserve"> </w:t>
      </w:r>
      <w:r w:rsidR="001D1E0E" w:rsidRPr="00151DAE">
        <w:rPr>
          <w:rFonts w:ascii="Arial" w:hAnsi="Arial" w:cs="Arial"/>
          <w:spacing w:val="4"/>
          <w:sz w:val="22"/>
        </w:rPr>
        <w:t>je kompletní zhotovení stavby „</w:t>
      </w:r>
      <w:r w:rsidR="00960BAD" w:rsidRPr="00151DAE">
        <w:rPr>
          <w:rFonts w:ascii="Arial" w:hAnsi="Arial" w:cs="Arial"/>
          <w:b/>
          <w:spacing w:val="4"/>
          <w:sz w:val="22"/>
        </w:rPr>
        <w:t>I</w:t>
      </w:r>
      <w:r w:rsidR="00A37853" w:rsidRPr="00151DAE">
        <w:rPr>
          <w:rFonts w:ascii="Arial" w:hAnsi="Arial" w:cs="Arial"/>
          <w:b/>
          <w:spacing w:val="4"/>
          <w:sz w:val="22"/>
        </w:rPr>
        <w:t>I</w:t>
      </w:r>
      <w:r w:rsidR="00960BAD" w:rsidRPr="00151DAE">
        <w:rPr>
          <w:rFonts w:ascii="Arial" w:hAnsi="Arial" w:cs="Arial"/>
          <w:b/>
          <w:spacing w:val="4"/>
          <w:sz w:val="22"/>
        </w:rPr>
        <w:t>I/</w:t>
      </w:r>
      <w:r w:rsidR="008C22AC" w:rsidRPr="00151DAE">
        <w:rPr>
          <w:rFonts w:ascii="Arial" w:hAnsi="Arial" w:cs="Arial"/>
          <w:b/>
          <w:spacing w:val="4"/>
          <w:sz w:val="22"/>
        </w:rPr>
        <w:t>3</w:t>
      </w:r>
      <w:r w:rsidR="00A37853" w:rsidRPr="00151DAE">
        <w:rPr>
          <w:rFonts w:ascii="Arial" w:hAnsi="Arial" w:cs="Arial"/>
          <w:b/>
          <w:spacing w:val="4"/>
          <w:sz w:val="22"/>
        </w:rPr>
        <w:t>928 Velká Bíteš – rekonstrukce násypu</w:t>
      </w:r>
      <w:r w:rsidR="00CC4FFF" w:rsidRPr="00151DAE">
        <w:rPr>
          <w:rFonts w:ascii="Arial" w:hAnsi="Arial" w:cs="Arial"/>
          <w:spacing w:val="4"/>
          <w:sz w:val="22"/>
        </w:rPr>
        <w:t>“</w:t>
      </w:r>
      <w:r w:rsidR="00BC385E" w:rsidRPr="00151DAE">
        <w:rPr>
          <w:rFonts w:ascii="Arial" w:hAnsi="Arial" w:cs="Arial"/>
          <w:spacing w:val="4"/>
          <w:sz w:val="22"/>
        </w:rPr>
        <w:t xml:space="preserve"> </w:t>
      </w:r>
      <w:r w:rsidR="00A05F13" w:rsidRPr="00151DAE">
        <w:rPr>
          <w:rFonts w:ascii="Arial" w:hAnsi="Arial" w:cs="Arial"/>
          <w:spacing w:val="4"/>
          <w:sz w:val="22"/>
        </w:rPr>
        <w:t>(dále též „dílo“</w:t>
      </w:r>
      <w:r w:rsidR="003F08CC" w:rsidRPr="00151DAE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151DAE">
        <w:rPr>
          <w:rFonts w:ascii="Arial" w:hAnsi="Arial" w:cs="Arial"/>
          <w:spacing w:val="4"/>
          <w:sz w:val="22"/>
        </w:rPr>
        <w:t xml:space="preserve">) </w:t>
      </w:r>
      <w:r w:rsidR="00BC385E" w:rsidRPr="00151DAE">
        <w:rPr>
          <w:rFonts w:ascii="Arial" w:hAnsi="Arial" w:cs="Arial"/>
          <w:spacing w:val="4"/>
          <w:sz w:val="22"/>
        </w:rPr>
        <w:t>zhotovitelem</w:t>
      </w:r>
      <w:r w:rsidR="00CC4FFF" w:rsidRPr="00151DAE">
        <w:rPr>
          <w:rFonts w:ascii="Arial" w:hAnsi="Arial" w:cs="Arial"/>
          <w:spacing w:val="4"/>
          <w:sz w:val="22"/>
        </w:rPr>
        <w:t>.</w:t>
      </w:r>
      <w:r w:rsidR="001D1E0E" w:rsidRPr="00151DAE">
        <w:rPr>
          <w:rFonts w:ascii="Arial" w:hAnsi="Arial" w:cs="Arial"/>
          <w:spacing w:val="4"/>
          <w:sz w:val="22"/>
        </w:rPr>
        <w:t xml:space="preserve"> </w:t>
      </w:r>
      <w:r w:rsidR="00E9119C" w:rsidRPr="00151DAE">
        <w:rPr>
          <w:rFonts w:ascii="Arial" w:hAnsi="Arial" w:cs="Arial"/>
          <w:spacing w:val="4"/>
          <w:sz w:val="22"/>
        </w:rPr>
        <w:t>Jedná se</w:t>
      </w:r>
      <w:r w:rsidR="00E9119C" w:rsidRPr="00151DAE">
        <w:rPr>
          <w:rFonts w:ascii="Arial" w:hAnsi="Arial" w:cs="Arial"/>
          <w:spacing w:val="-4"/>
          <w:sz w:val="22"/>
        </w:rPr>
        <w:t xml:space="preserve"> o </w:t>
      </w:r>
      <w:r w:rsidR="00A37853" w:rsidRPr="00151DAE">
        <w:rPr>
          <w:rFonts w:ascii="Arial" w:hAnsi="Arial" w:cs="Arial"/>
          <w:spacing w:val="-4"/>
          <w:sz w:val="22"/>
        </w:rPr>
        <w:t>vybudování chodníku, dešťové kanalizace, veřejného osvětlení,</w:t>
      </w:r>
      <w:r w:rsidR="00A52D8A" w:rsidRPr="00151DAE">
        <w:rPr>
          <w:rFonts w:ascii="Arial" w:hAnsi="Arial" w:cs="Arial"/>
          <w:spacing w:val="-4"/>
          <w:sz w:val="22"/>
        </w:rPr>
        <w:t xml:space="preserve"> metropolitní sítě,</w:t>
      </w:r>
      <w:r w:rsidR="00A37853" w:rsidRPr="00151DAE">
        <w:rPr>
          <w:rFonts w:ascii="Arial" w:hAnsi="Arial" w:cs="Arial"/>
          <w:spacing w:val="-4"/>
          <w:sz w:val="22"/>
        </w:rPr>
        <w:t xml:space="preserve"> vodovodní</w:t>
      </w:r>
      <w:r w:rsidR="001916D3" w:rsidRPr="00151DAE">
        <w:rPr>
          <w:rFonts w:ascii="Arial" w:hAnsi="Arial" w:cs="Arial"/>
          <w:spacing w:val="-4"/>
          <w:sz w:val="22"/>
        </w:rPr>
        <w:t>ch</w:t>
      </w:r>
      <w:r w:rsidR="00A37853" w:rsidRPr="00151DAE">
        <w:rPr>
          <w:rFonts w:ascii="Arial" w:hAnsi="Arial" w:cs="Arial"/>
          <w:spacing w:val="-4"/>
          <w:sz w:val="22"/>
        </w:rPr>
        <w:t xml:space="preserve"> a kanalizační</w:t>
      </w:r>
      <w:r w:rsidR="001916D3" w:rsidRPr="00151DAE">
        <w:rPr>
          <w:rFonts w:ascii="Arial" w:hAnsi="Arial" w:cs="Arial"/>
          <w:spacing w:val="-4"/>
          <w:sz w:val="22"/>
        </w:rPr>
        <w:t>ch</w:t>
      </w:r>
      <w:r w:rsidR="00A37853" w:rsidRPr="00151DAE">
        <w:rPr>
          <w:rFonts w:ascii="Arial" w:hAnsi="Arial" w:cs="Arial"/>
          <w:spacing w:val="-4"/>
          <w:sz w:val="22"/>
        </w:rPr>
        <w:t xml:space="preserve"> přípoj</w:t>
      </w:r>
      <w:r w:rsidR="001916D3" w:rsidRPr="00151DAE">
        <w:rPr>
          <w:rFonts w:ascii="Arial" w:hAnsi="Arial" w:cs="Arial"/>
          <w:spacing w:val="-4"/>
          <w:sz w:val="22"/>
        </w:rPr>
        <w:t>e</w:t>
      </w:r>
      <w:r w:rsidR="00A37853" w:rsidRPr="00151DAE">
        <w:rPr>
          <w:rFonts w:ascii="Arial" w:hAnsi="Arial" w:cs="Arial"/>
          <w:spacing w:val="-4"/>
          <w:sz w:val="22"/>
        </w:rPr>
        <w:t xml:space="preserve">k na ulici Rajhradská při </w:t>
      </w:r>
      <w:r w:rsidR="008C22AC" w:rsidRPr="00151DAE">
        <w:rPr>
          <w:rFonts w:ascii="Arial" w:eastAsia="MS Mincho" w:hAnsi="Arial" w:cs="Arial"/>
          <w:sz w:val="22"/>
        </w:rPr>
        <w:t>komunikac</w:t>
      </w:r>
      <w:r w:rsidR="00A37853" w:rsidRPr="00151DAE">
        <w:rPr>
          <w:rFonts w:ascii="Arial" w:eastAsia="MS Mincho" w:hAnsi="Arial" w:cs="Arial"/>
          <w:sz w:val="22"/>
        </w:rPr>
        <w:t>i</w:t>
      </w:r>
      <w:r w:rsidR="008C22AC" w:rsidRPr="00151DAE">
        <w:rPr>
          <w:rFonts w:ascii="Arial" w:eastAsia="MS Mincho" w:hAnsi="Arial" w:cs="Arial"/>
          <w:sz w:val="22"/>
        </w:rPr>
        <w:t xml:space="preserve"> </w:t>
      </w:r>
      <w:r w:rsidR="00A37853" w:rsidRPr="00151DAE">
        <w:rPr>
          <w:rFonts w:ascii="Arial" w:eastAsia="MS Mincho" w:hAnsi="Arial" w:cs="Arial"/>
          <w:sz w:val="22"/>
        </w:rPr>
        <w:t>I</w:t>
      </w:r>
      <w:r w:rsidR="008C22AC" w:rsidRPr="00151DAE">
        <w:rPr>
          <w:rFonts w:ascii="Arial" w:eastAsia="MS Mincho" w:hAnsi="Arial" w:cs="Arial"/>
          <w:sz w:val="22"/>
        </w:rPr>
        <w:t>II/3</w:t>
      </w:r>
      <w:r w:rsidR="00A37853" w:rsidRPr="00151DAE">
        <w:rPr>
          <w:rFonts w:ascii="Arial" w:eastAsia="MS Mincho" w:hAnsi="Arial" w:cs="Arial"/>
          <w:sz w:val="22"/>
        </w:rPr>
        <w:t>928 ve směru na Jindřichov</w:t>
      </w:r>
      <w:r w:rsidR="00A81376" w:rsidRPr="00151DAE">
        <w:rPr>
          <w:rFonts w:ascii="Arial" w:eastAsia="MS Mincho" w:hAnsi="Arial" w:cs="Arial"/>
          <w:sz w:val="22"/>
        </w:rPr>
        <w:t>.</w:t>
      </w:r>
    </w:p>
    <w:p w14:paraId="2A8ED238" w14:textId="77777777" w:rsidR="00930DF0" w:rsidRDefault="00930DF0" w:rsidP="00930DF0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1322226B" w14:textId="115EEEAB" w:rsidR="00730807" w:rsidRPr="00A52D8A" w:rsidRDefault="00461095" w:rsidP="00786C2E">
      <w:pPr>
        <w:pStyle w:val="Zkladntextodsazen21"/>
        <w:numPr>
          <w:ilvl w:val="1"/>
          <w:numId w:val="6"/>
        </w:numPr>
        <w:spacing w:after="120"/>
        <w:rPr>
          <w:rFonts w:ascii="Arial" w:hAnsi="Arial" w:cs="Arial"/>
          <w:sz w:val="22"/>
        </w:rPr>
      </w:pPr>
      <w:r w:rsidRPr="00930DF0">
        <w:rPr>
          <w:rFonts w:ascii="Arial" w:hAnsi="Arial" w:cs="Arial"/>
          <w:sz w:val="22"/>
        </w:rPr>
        <w:t xml:space="preserve">Stavba bude </w:t>
      </w:r>
      <w:r w:rsidRPr="00A52D8A">
        <w:rPr>
          <w:rFonts w:ascii="Arial" w:hAnsi="Arial" w:cs="Arial"/>
          <w:sz w:val="22"/>
        </w:rPr>
        <w:t>realizována dle projektové dokumentace</w:t>
      </w:r>
      <w:r w:rsidR="00930DF0" w:rsidRPr="00A52D8A">
        <w:rPr>
          <w:rFonts w:ascii="Arial" w:hAnsi="Arial" w:cs="Arial"/>
          <w:sz w:val="22"/>
        </w:rPr>
        <w:t>:</w:t>
      </w:r>
      <w:r w:rsidRPr="00A52D8A">
        <w:rPr>
          <w:rFonts w:ascii="Arial" w:hAnsi="Arial" w:cs="Arial"/>
          <w:sz w:val="22"/>
        </w:rPr>
        <w:t xml:space="preserve"> </w:t>
      </w:r>
    </w:p>
    <w:p w14:paraId="4154AADF" w14:textId="45022B8A" w:rsidR="00730807" w:rsidRPr="00A52D8A" w:rsidRDefault="00461095" w:rsidP="00786C2E">
      <w:pPr>
        <w:pStyle w:val="Zkladntextodsazen21"/>
        <w:numPr>
          <w:ilvl w:val="0"/>
          <w:numId w:val="42"/>
        </w:numPr>
        <w:spacing w:after="120"/>
        <w:ind w:left="993"/>
        <w:rPr>
          <w:rFonts w:ascii="Arial" w:hAnsi="Arial" w:cs="Arial"/>
          <w:sz w:val="22"/>
        </w:rPr>
      </w:pPr>
      <w:r w:rsidRPr="00A52D8A">
        <w:rPr>
          <w:rFonts w:ascii="Arial" w:hAnsi="Arial" w:cs="Arial"/>
          <w:sz w:val="22"/>
        </w:rPr>
        <w:t>„I</w:t>
      </w:r>
      <w:r w:rsidR="00A37853" w:rsidRPr="00A52D8A">
        <w:rPr>
          <w:rFonts w:ascii="Arial" w:hAnsi="Arial" w:cs="Arial"/>
          <w:sz w:val="22"/>
        </w:rPr>
        <w:t>I</w:t>
      </w:r>
      <w:r w:rsidRPr="00A52D8A">
        <w:rPr>
          <w:rFonts w:ascii="Arial" w:hAnsi="Arial" w:cs="Arial"/>
          <w:sz w:val="22"/>
        </w:rPr>
        <w:t>I/3</w:t>
      </w:r>
      <w:r w:rsidR="00A37853" w:rsidRPr="00A52D8A">
        <w:rPr>
          <w:rFonts w:ascii="Arial" w:hAnsi="Arial" w:cs="Arial"/>
          <w:sz w:val="22"/>
        </w:rPr>
        <w:t xml:space="preserve">928 </w:t>
      </w:r>
      <w:r w:rsidR="00051E2F" w:rsidRPr="00A52D8A">
        <w:rPr>
          <w:rFonts w:ascii="Arial" w:hAnsi="Arial" w:cs="Arial"/>
          <w:sz w:val="22"/>
        </w:rPr>
        <w:t xml:space="preserve">Velká Bíteš </w:t>
      </w:r>
      <w:r w:rsidR="00491749" w:rsidRPr="00A52D8A">
        <w:rPr>
          <w:rFonts w:ascii="Arial" w:hAnsi="Arial" w:cs="Arial"/>
          <w:sz w:val="22"/>
        </w:rPr>
        <w:t>– rekonstrukce násypu</w:t>
      </w:r>
      <w:r w:rsidR="007B31D7" w:rsidRPr="00A52D8A">
        <w:rPr>
          <w:rFonts w:ascii="Arial" w:hAnsi="Arial" w:cs="Arial"/>
          <w:sz w:val="22"/>
        </w:rPr>
        <w:t>, aktualizace 2020</w:t>
      </w:r>
      <w:r w:rsidRPr="00A52D8A">
        <w:rPr>
          <w:rFonts w:ascii="Arial" w:hAnsi="Arial" w:cs="Arial"/>
          <w:sz w:val="22"/>
        </w:rPr>
        <w:t xml:space="preserve">“ vypracované ve stupni </w:t>
      </w:r>
      <w:r w:rsidR="002D398B" w:rsidRPr="00A52D8A">
        <w:rPr>
          <w:rFonts w:ascii="Arial" w:hAnsi="Arial" w:cs="Arial"/>
          <w:sz w:val="22"/>
        </w:rPr>
        <w:t>dokumentace</w:t>
      </w:r>
      <w:r w:rsidR="00D36332" w:rsidRPr="00A52D8A">
        <w:rPr>
          <w:rFonts w:ascii="Arial" w:hAnsi="Arial" w:cs="Arial"/>
          <w:sz w:val="22"/>
        </w:rPr>
        <w:t xml:space="preserve"> </w:t>
      </w:r>
      <w:r w:rsidR="00DE3071" w:rsidRPr="00A52D8A">
        <w:rPr>
          <w:rFonts w:ascii="Arial" w:hAnsi="Arial" w:cs="Arial"/>
          <w:sz w:val="22"/>
        </w:rPr>
        <w:t xml:space="preserve">DSP </w:t>
      </w:r>
      <w:r w:rsidR="000A5502" w:rsidRPr="00A52D8A">
        <w:rPr>
          <w:rFonts w:ascii="Arial" w:hAnsi="Arial" w:cs="Arial"/>
          <w:sz w:val="22"/>
        </w:rPr>
        <w:t>vypracované</w:t>
      </w:r>
      <w:r w:rsidRPr="00A52D8A">
        <w:rPr>
          <w:rFonts w:ascii="Arial" w:hAnsi="Arial" w:cs="Arial"/>
          <w:sz w:val="22"/>
        </w:rPr>
        <w:t xml:space="preserve"> společností </w:t>
      </w:r>
      <w:r w:rsidR="000A5502" w:rsidRPr="00A52D8A">
        <w:rPr>
          <w:rFonts w:ascii="Arial" w:hAnsi="Arial" w:cs="Arial"/>
          <w:sz w:val="22"/>
        </w:rPr>
        <w:t xml:space="preserve">OPTIMA spol. s r.o., Žižkova 738, 566 01 Vysoké Mýto </w:t>
      </w:r>
    </w:p>
    <w:p w14:paraId="6FE383FD" w14:textId="4F2E87E9" w:rsidR="00730807" w:rsidRPr="00A52D8A" w:rsidRDefault="00730807" w:rsidP="00786C2E">
      <w:pPr>
        <w:pStyle w:val="Zkladntextodsazen21"/>
        <w:numPr>
          <w:ilvl w:val="0"/>
          <w:numId w:val="42"/>
        </w:numPr>
        <w:spacing w:after="120"/>
        <w:ind w:left="993"/>
        <w:rPr>
          <w:rFonts w:ascii="Arial" w:hAnsi="Arial" w:cs="Arial"/>
          <w:sz w:val="22"/>
        </w:rPr>
      </w:pPr>
      <w:r w:rsidRPr="00A52D8A">
        <w:rPr>
          <w:rFonts w:ascii="Arial" w:hAnsi="Arial" w:cs="Arial"/>
          <w:sz w:val="22"/>
        </w:rPr>
        <w:t>„III/3928 Velká Bíteš – rekonstrukce násypu</w:t>
      </w:r>
      <w:r w:rsidRPr="00A52D8A">
        <w:rPr>
          <w:rFonts w:ascii="Arial" w:hAnsi="Arial" w:cs="Arial"/>
          <w:bCs/>
          <w:sz w:val="22"/>
          <w:lang w:eastAsia="cs-CZ"/>
        </w:rPr>
        <w:t xml:space="preserve"> - chodník v ulici Rajhradská, Velká Bíteš“</w:t>
      </w:r>
      <w:r w:rsidR="007067BB" w:rsidRPr="00A52D8A">
        <w:rPr>
          <w:rFonts w:ascii="Arial" w:hAnsi="Arial" w:cs="Arial"/>
          <w:bCs/>
          <w:sz w:val="22"/>
          <w:lang w:eastAsia="cs-CZ"/>
        </w:rPr>
        <w:t>,</w:t>
      </w:r>
      <w:r w:rsidRPr="00A52D8A">
        <w:rPr>
          <w:rFonts w:ascii="Arial" w:hAnsi="Arial" w:cs="Arial"/>
          <w:sz w:val="22"/>
        </w:rPr>
        <w:t xml:space="preserve"> vypracované ve stupni dokumentace DSP vypracované společností OPTIMA spol. s r.o., Žižkova 738, 566 01 Vysoké Mýto </w:t>
      </w:r>
    </w:p>
    <w:p w14:paraId="45BC1819" w14:textId="624C2830" w:rsidR="00461095" w:rsidRDefault="00A52D8A" w:rsidP="00786C2E">
      <w:pPr>
        <w:pStyle w:val="Zkladntextodsazen21"/>
        <w:numPr>
          <w:ilvl w:val="0"/>
          <w:numId w:val="42"/>
        </w:numPr>
        <w:spacing w:after="120"/>
        <w:ind w:left="99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„</w:t>
      </w:r>
      <w:r w:rsidR="00730807" w:rsidRPr="00A52D8A">
        <w:rPr>
          <w:rFonts w:ascii="Arial" w:hAnsi="Arial" w:cs="Arial"/>
          <w:sz w:val="22"/>
        </w:rPr>
        <w:t>Zřízení vodovodních a kanalizačních přípojek v lokalitě ul. Rajhradské ve Velké Bíteši</w:t>
      </w:r>
      <w:r>
        <w:rPr>
          <w:rFonts w:ascii="Arial" w:hAnsi="Arial" w:cs="Arial"/>
          <w:sz w:val="22"/>
        </w:rPr>
        <w:t>“</w:t>
      </w:r>
      <w:r w:rsidR="00730807" w:rsidRPr="00A52D8A">
        <w:rPr>
          <w:rFonts w:ascii="Arial" w:hAnsi="Arial" w:cs="Arial"/>
          <w:sz w:val="22"/>
        </w:rPr>
        <w:t xml:space="preserve"> </w:t>
      </w:r>
      <w:r w:rsidR="000A5502" w:rsidRPr="00A52D8A">
        <w:rPr>
          <w:rFonts w:ascii="Arial" w:hAnsi="Arial" w:cs="Arial"/>
          <w:sz w:val="22"/>
        </w:rPr>
        <w:t xml:space="preserve">ve stupni DUR+DSP v 07/2019 </w:t>
      </w:r>
      <w:r w:rsidR="000A5502">
        <w:rPr>
          <w:rFonts w:ascii="Arial" w:hAnsi="Arial" w:cs="Arial"/>
          <w:sz w:val="22"/>
        </w:rPr>
        <w:t>vypracované společností JDS projekt, s.r.o., Džbánov 22, 566 01 Vysoké Mýto.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4916683" w14:textId="77777777" w:rsidR="00930DF0" w:rsidRPr="00930DF0" w:rsidRDefault="00432F74" w:rsidP="00930DF0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30DF0">
        <w:rPr>
          <w:rFonts w:ascii="Arial" w:hAnsi="Arial" w:cs="Arial"/>
          <w:spacing w:val="-2"/>
          <w:sz w:val="22"/>
        </w:rPr>
        <w:t>Součástí stavby jsou i dopravně inženýrská opatření</w:t>
      </w:r>
      <w:r w:rsidR="000A5502" w:rsidRPr="00930DF0">
        <w:rPr>
          <w:rFonts w:ascii="Arial" w:hAnsi="Arial" w:cs="Arial"/>
          <w:spacing w:val="-2"/>
          <w:sz w:val="22"/>
        </w:rPr>
        <w:t xml:space="preserve"> a</w:t>
      </w:r>
      <w:r w:rsidRPr="00930DF0">
        <w:rPr>
          <w:rFonts w:ascii="Arial" w:hAnsi="Arial" w:cs="Arial"/>
          <w:spacing w:val="-2"/>
          <w:sz w:val="22"/>
        </w:rPr>
        <w:t xml:space="preserve"> zajištění </w:t>
      </w:r>
      <w:r w:rsidR="000A5502" w:rsidRPr="00930DF0">
        <w:rPr>
          <w:rFonts w:ascii="Arial" w:hAnsi="Arial" w:cs="Arial"/>
          <w:spacing w:val="-2"/>
          <w:sz w:val="22"/>
        </w:rPr>
        <w:t>přístupů k přilehlým nemovitostem.</w:t>
      </w:r>
    </w:p>
    <w:p w14:paraId="39F1C4F6" w14:textId="77777777" w:rsidR="00930DF0" w:rsidRPr="00930DF0" w:rsidRDefault="00930DF0" w:rsidP="00930DF0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07D2618" w14:textId="3EA0F637" w:rsidR="00432F74" w:rsidRPr="001A1F6F" w:rsidRDefault="001C5C21" w:rsidP="00930DF0">
      <w:pPr>
        <w:pStyle w:val="Zkladntextodsazen21"/>
        <w:numPr>
          <w:ilvl w:val="1"/>
          <w:numId w:val="6"/>
        </w:numPr>
        <w:ind w:left="567" w:hanging="567"/>
        <w:rPr>
          <w:rFonts w:ascii="Arial" w:hAnsi="Arial" w:cs="Arial"/>
          <w:sz w:val="22"/>
        </w:rPr>
      </w:pPr>
      <w:r w:rsidRPr="001A1F6F">
        <w:rPr>
          <w:rFonts w:ascii="Arial" w:hAnsi="Arial" w:cs="Arial"/>
          <w:spacing w:val="-2"/>
          <w:sz w:val="22"/>
        </w:rPr>
        <w:t>Zhotovitel</w:t>
      </w:r>
      <w:r w:rsidR="00930DF0" w:rsidRPr="001A1F6F">
        <w:rPr>
          <w:rFonts w:ascii="Arial" w:hAnsi="Arial" w:cs="Arial"/>
          <w:spacing w:val="-2"/>
          <w:sz w:val="22"/>
        </w:rPr>
        <w:t xml:space="preserve"> je povinen</w:t>
      </w:r>
      <w:r w:rsidR="00432F74" w:rsidRPr="001A1F6F">
        <w:rPr>
          <w:rFonts w:ascii="Arial" w:hAnsi="Arial" w:cs="Arial"/>
          <w:spacing w:val="-2"/>
          <w:sz w:val="22"/>
        </w:rPr>
        <w:t xml:space="preserve"> dodržet veškeré požadavky a podmínky uvedené ve vyjádřeních obsažených </w:t>
      </w:r>
      <w:r w:rsidR="00E0783F" w:rsidRPr="001A1F6F">
        <w:rPr>
          <w:rFonts w:ascii="Arial" w:hAnsi="Arial" w:cs="Arial"/>
          <w:spacing w:val="-2"/>
          <w:sz w:val="22"/>
        </w:rPr>
        <w:t xml:space="preserve">v dokladové </w:t>
      </w:r>
      <w:r w:rsidR="00EA352A" w:rsidRPr="001A1F6F">
        <w:rPr>
          <w:rFonts w:ascii="Arial" w:hAnsi="Arial" w:cs="Arial"/>
          <w:spacing w:val="-2"/>
          <w:sz w:val="22"/>
        </w:rPr>
        <w:t>části projekt</w:t>
      </w:r>
      <w:r w:rsidR="00786C2E" w:rsidRPr="001A1F6F">
        <w:rPr>
          <w:rFonts w:ascii="Arial" w:hAnsi="Arial" w:cs="Arial"/>
          <w:spacing w:val="-2"/>
          <w:sz w:val="22"/>
        </w:rPr>
        <w:t>ové dokumentace. Zhotovitel bude</w:t>
      </w:r>
      <w:r w:rsidR="00EA352A" w:rsidRPr="001A1F6F">
        <w:rPr>
          <w:rFonts w:ascii="Arial" w:hAnsi="Arial" w:cs="Arial"/>
          <w:spacing w:val="-2"/>
          <w:sz w:val="22"/>
        </w:rPr>
        <w:t xml:space="preserve"> respektovat a plnit podmínky rozhodnutí:</w:t>
      </w:r>
    </w:p>
    <w:p w14:paraId="7DA02CF1" w14:textId="19C613F1" w:rsidR="00930DF0" w:rsidRPr="001A1F6F" w:rsidRDefault="00930DF0" w:rsidP="00930DF0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62EC307" w14:textId="249A3A1E" w:rsidR="00AD04E1" w:rsidRPr="00F96DE3" w:rsidRDefault="00AD04E1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>Územní rozhodnutí č.j. MÚVB/7</w:t>
      </w:r>
      <w:r w:rsidR="00635B70" w:rsidRPr="00F96DE3">
        <w:rPr>
          <w:rFonts w:ascii="Arial" w:hAnsi="Arial" w:cs="Arial"/>
          <w:spacing w:val="-2"/>
        </w:rPr>
        <w:t>0</w:t>
      </w:r>
      <w:r w:rsidRPr="00F96DE3">
        <w:rPr>
          <w:rFonts w:ascii="Arial" w:hAnsi="Arial" w:cs="Arial"/>
          <w:spacing w:val="-2"/>
        </w:rPr>
        <w:t>74/14/VÝST/BAL</w:t>
      </w:r>
      <w:r w:rsidR="00635B70" w:rsidRPr="00F96DE3">
        <w:rPr>
          <w:rFonts w:ascii="Arial" w:hAnsi="Arial" w:cs="Arial"/>
          <w:spacing w:val="-2"/>
        </w:rPr>
        <w:t>-1188/2014</w:t>
      </w:r>
      <w:r w:rsidRPr="00F96DE3">
        <w:rPr>
          <w:rFonts w:ascii="Arial" w:hAnsi="Arial" w:cs="Arial"/>
          <w:spacing w:val="-2"/>
        </w:rPr>
        <w:t xml:space="preserve"> vydané odborem výstavby a ŽP </w:t>
      </w:r>
      <w:proofErr w:type="spellStart"/>
      <w:r w:rsidRPr="00F96DE3">
        <w:rPr>
          <w:rFonts w:ascii="Arial" w:hAnsi="Arial" w:cs="Arial"/>
          <w:spacing w:val="-2"/>
        </w:rPr>
        <w:t>MěÚ</w:t>
      </w:r>
      <w:proofErr w:type="spellEnd"/>
      <w:r w:rsidRPr="00F96DE3">
        <w:rPr>
          <w:rFonts w:ascii="Arial" w:hAnsi="Arial" w:cs="Arial"/>
          <w:spacing w:val="-2"/>
        </w:rPr>
        <w:t xml:space="preserve"> Velká Bíteš dne 17.12.2014</w:t>
      </w:r>
    </w:p>
    <w:p w14:paraId="4BB45EC0" w14:textId="4C59FD18" w:rsidR="009A359E" w:rsidRPr="00F96DE3" w:rsidRDefault="009A359E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>Rozhodnutí o změně rozhodnutí č.j. MÚVB/7074/14/VÝST/BAL-1188/2014 a to rozhodnutím ze dne 6.6.2017 č.j. MÚVB/2859/17/VÝST/URB</w:t>
      </w:r>
    </w:p>
    <w:p w14:paraId="2EDF84E4" w14:textId="51F679E9" w:rsidR="00DE3071" w:rsidRPr="00F96DE3" w:rsidRDefault="00DE3071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>Rozhodnutí o změně rozhodnutí č.j. MÚVB/7074/14/VÝST/BAL-1188/2014 a to rozhodnutím ze dne 3.9.2020 č.j. MÚVB/4768/20/VÝST/URB</w:t>
      </w:r>
    </w:p>
    <w:p w14:paraId="3FB82F50" w14:textId="654BADB8" w:rsidR="00635B70" w:rsidRPr="00F96DE3" w:rsidRDefault="00635B70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>Rozhodnutí stavební povolení č.j. ŽP/3479/2016-vran</w:t>
      </w:r>
      <w:r w:rsidR="00671E53" w:rsidRPr="00F96DE3">
        <w:rPr>
          <w:rFonts w:ascii="Arial" w:hAnsi="Arial" w:cs="Arial"/>
          <w:spacing w:val="-2"/>
        </w:rPr>
        <w:t>o</w:t>
      </w:r>
      <w:r w:rsidRPr="00F96DE3">
        <w:rPr>
          <w:rFonts w:ascii="Arial" w:hAnsi="Arial" w:cs="Arial"/>
          <w:spacing w:val="-2"/>
        </w:rPr>
        <w:t xml:space="preserve"> vydané odborem ŽP </w:t>
      </w:r>
      <w:proofErr w:type="spellStart"/>
      <w:r w:rsidRPr="00F96DE3">
        <w:rPr>
          <w:rFonts w:ascii="Arial" w:hAnsi="Arial" w:cs="Arial"/>
          <w:spacing w:val="-2"/>
        </w:rPr>
        <w:t>MěÚ</w:t>
      </w:r>
      <w:proofErr w:type="spellEnd"/>
      <w:r w:rsidRPr="00F96DE3">
        <w:rPr>
          <w:rFonts w:ascii="Arial" w:hAnsi="Arial" w:cs="Arial"/>
          <w:spacing w:val="-2"/>
        </w:rPr>
        <w:t xml:space="preserve"> Velké Meziříčí dne 20.5.2016</w:t>
      </w:r>
    </w:p>
    <w:p w14:paraId="13150CBA" w14:textId="640C77F9" w:rsidR="00671E53" w:rsidRPr="00F96DE3" w:rsidRDefault="00671E53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 xml:space="preserve">Rozhodnutí prodloužení platnosti stavebního povolení č.j. ŽP/3479/2016-vrano rozhodnutím č.j. ŽP/43774/2018-vrano/19003/2018 vydané odborem ŽP </w:t>
      </w:r>
      <w:proofErr w:type="spellStart"/>
      <w:r w:rsidRPr="00F96DE3">
        <w:rPr>
          <w:rFonts w:ascii="Arial" w:hAnsi="Arial" w:cs="Arial"/>
          <w:spacing w:val="-2"/>
        </w:rPr>
        <w:t>MěÚ</w:t>
      </w:r>
      <w:proofErr w:type="spellEnd"/>
      <w:r w:rsidRPr="00F96DE3">
        <w:rPr>
          <w:rFonts w:ascii="Arial" w:hAnsi="Arial" w:cs="Arial"/>
          <w:spacing w:val="-2"/>
        </w:rPr>
        <w:t xml:space="preserve"> Velké Meziříčí dne 16.7.2018</w:t>
      </w:r>
    </w:p>
    <w:p w14:paraId="5CCF485B" w14:textId="09822923" w:rsidR="009A359E" w:rsidRPr="00F96DE3" w:rsidRDefault="009A359E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 xml:space="preserve">Rozhodnutí </w:t>
      </w:r>
      <w:r w:rsidR="00671E53" w:rsidRPr="00F96DE3">
        <w:rPr>
          <w:rFonts w:ascii="Arial" w:hAnsi="Arial" w:cs="Arial"/>
          <w:spacing w:val="-2"/>
        </w:rPr>
        <w:t xml:space="preserve">prodloužení platnosti stavebního povolení č.j. ŽP/3479/2016-vrano rozhodnutím </w:t>
      </w:r>
      <w:r w:rsidRPr="00F96DE3">
        <w:rPr>
          <w:rFonts w:ascii="Arial" w:hAnsi="Arial" w:cs="Arial"/>
          <w:spacing w:val="-2"/>
        </w:rPr>
        <w:t>č.j. ŽP/</w:t>
      </w:r>
      <w:r w:rsidR="00671E53" w:rsidRPr="00F96DE3">
        <w:rPr>
          <w:rFonts w:ascii="Arial" w:hAnsi="Arial" w:cs="Arial"/>
          <w:spacing w:val="-2"/>
        </w:rPr>
        <w:t>63500/2020</w:t>
      </w:r>
      <w:r w:rsidRPr="00F96DE3">
        <w:rPr>
          <w:rFonts w:ascii="Arial" w:hAnsi="Arial" w:cs="Arial"/>
          <w:spacing w:val="-2"/>
        </w:rPr>
        <w:t>-vran</w:t>
      </w:r>
      <w:r w:rsidR="00671E53" w:rsidRPr="00F96DE3">
        <w:rPr>
          <w:rFonts w:ascii="Arial" w:hAnsi="Arial" w:cs="Arial"/>
          <w:spacing w:val="-2"/>
        </w:rPr>
        <w:t>o</w:t>
      </w:r>
      <w:r w:rsidRPr="00F96DE3">
        <w:rPr>
          <w:rFonts w:ascii="Arial" w:hAnsi="Arial" w:cs="Arial"/>
          <w:spacing w:val="-2"/>
        </w:rPr>
        <w:t xml:space="preserve"> vydané odborem ŽP </w:t>
      </w:r>
      <w:proofErr w:type="spellStart"/>
      <w:r w:rsidRPr="00F96DE3">
        <w:rPr>
          <w:rFonts w:ascii="Arial" w:hAnsi="Arial" w:cs="Arial"/>
          <w:spacing w:val="-2"/>
        </w:rPr>
        <w:t>MěÚ</w:t>
      </w:r>
      <w:proofErr w:type="spellEnd"/>
      <w:r w:rsidRPr="00F96DE3">
        <w:rPr>
          <w:rFonts w:ascii="Arial" w:hAnsi="Arial" w:cs="Arial"/>
          <w:spacing w:val="-2"/>
        </w:rPr>
        <w:t xml:space="preserve"> Velké Meziříčí dne </w:t>
      </w:r>
      <w:r w:rsidR="00671E53" w:rsidRPr="00F96DE3">
        <w:rPr>
          <w:rFonts w:ascii="Arial" w:hAnsi="Arial" w:cs="Arial"/>
          <w:spacing w:val="-2"/>
        </w:rPr>
        <w:t>15.10.2020</w:t>
      </w:r>
    </w:p>
    <w:p w14:paraId="70D0DFF4" w14:textId="77777777" w:rsidR="009A359E" w:rsidRPr="00F96DE3" w:rsidRDefault="009A359E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 xml:space="preserve">Územní rozhodnutí č.j. MÚVB/7684/16/VÝST/URB vydané odborem výstavby a ŽP </w:t>
      </w:r>
      <w:proofErr w:type="spellStart"/>
      <w:r w:rsidRPr="00F96DE3">
        <w:rPr>
          <w:rFonts w:ascii="Arial" w:hAnsi="Arial" w:cs="Arial"/>
          <w:spacing w:val="-2"/>
        </w:rPr>
        <w:t>MěÚ</w:t>
      </w:r>
      <w:proofErr w:type="spellEnd"/>
      <w:r w:rsidRPr="00F96DE3">
        <w:rPr>
          <w:rFonts w:ascii="Arial" w:hAnsi="Arial" w:cs="Arial"/>
          <w:spacing w:val="-2"/>
        </w:rPr>
        <w:t xml:space="preserve"> Velká Bíteš dne 17.7.2017</w:t>
      </w:r>
    </w:p>
    <w:p w14:paraId="60809EB9" w14:textId="1361EEC0" w:rsidR="009A51E4" w:rsidRPr="00F96DE3" w:rsidRDefault="009A51E4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 xml:space="preserve">Stavební povolení č.j. DOP/71036/2018-po/24807/2018 vydané odborem dopravy a SH </w:t>
      </w:r>
      <w:proofErr w:type="spellStart"/>
      <w:r w:rsidRPr="00F96DE3">
        <w:rPr>
          <w:rFonts w:ascii="Arial" w:hAnsi="Arial" w:cs="Arial"/>
          <w:spacing w:val="-2"/>
        </w:rPr>
        <w:t>M</w:t>
      </w:r>
      <w:r w:rsidR="00671E53" w:rsidRPr="00F96DE3">
        <w:rPr>
          <w:rFonts w:ascii="Arial" w:hAnsi="Arial" w:cs="Arial"/>
          <w:spacing w:val="-2"/>
        </w:rPr>
        <w:t>ěÚ</w:t>
      </w:r>
      <w:proofErr w:type="spellEnd"/>
      <w:r w:rsidR="00671E53" w:rsidRPr="00F96DE3">
        <w:rPr>
          <w:rFonts w:ascii="Arial" w:hAnsi="Arial" w:cs="Arial"/>
          <w:spacing w:val="-2"/>
        </w:rPr>
        <w:t xml:space="preserve"> Velké Meziříčí dne 26.9.2018</w:t>
      </w:r>
    </w:p>
    <w:p w14:paraId="737DDEC6" w14:textId="7DF7B038" w:rsidR="00671E53" w:rsidRPr="00F96DE3" w:rsidRDefault="00671E53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 xml:space="preserve">Rozhodnutí prodloužení stavebního povolení č.j. DOP/71036/2018-po/24807/2018 rozhodnutím DOP/89814/2020-po/24401/2020 vydané odborem dopravy a SH </w:t>
      </w:r>
      <w:proofErr w:type="spellStart"/>
      <w:r w:rsidRPr="00F96DE3">
        <w:rPr>
          <w:rFonts w:ascii="Arial" w:hAnsi="Arial" w:cs="Arial"/>
          <w:spacing w:val="-2"/>
        </w:rPr>
        <w:t>MěÚ</w:t>
      </w:r>
      <w:proofErr w:type="spellEnd"/>
      <w:r w:rsidRPr="00F96DE3">
        <w:rPr>
          <w:rFonts w:ascii="Arial" w:hAnsi="Arial" w:cs="Arial"/>
          <w:spacing w:val="-2"/>
        </w:rPr>
        <w:t xml:space="preserve"> Velké Meziříčí dne 20.10.2020</w:t>
      </w:r>
    </w:p>
    <w:p w14:paraId="47D4ECC5" w14:textId="6BE466DE" w:rsidR="00DE3071" w:rsidRPr="00151DAE" w:rsidRDefault="00DE3071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F96DE3">
        <w:rPr>
          <w:rFonts w:ascii="Arial" w:hAnsi="Arial" w:cs="Arial"/>
          <w:spacing w:val="-2"/>
        </w:rPr>
        <w:t>Stavební povolení č.j. DOP/89821/2020-po /24402/</w:t>
      </w:r>
      <w:r w:rsidRPr="00151DAE">
        <w:rPr>
          <w:rFonts w:ascii="Arial" w:hAnsi="Arial" w:cs="Arial"/>
          <w:spacing w:val="-2"/>
        </w:rPr>
        <w:t xml:space="preserve">2020 vydané odborem dopravy a SH </w:t>
      </w:r>
      <w:proofErr w:type="spellStart"/>
      <w:r w:rsidRPr="00151DAE">
        <w:rPr>
          <w:rFonts w:ascii="Arial" w:hAnsi="Arial" w:cs="Arial"/>
          <w:spacing w:val="-2"/>
        </w:rPr>
        <w:t>MěÚ</w:t>
      </w:r>
      <w:proofErr w:type="spellEnd"/>
      <w:r w:rsidRPr="00151DAE">
        <w:rPr>
          <w:rFonts w:ascii="Arial" w:hAnsi="Arial" w:cs="Arial"/>
          <w:spacing w:val="-2"/>
        </w:rPr>
        <w:t xml:space="preserve"> Velké Meziříčí dne 4.11.2020</w:t>
      </w:r>
    </w:p>
    <w:p w14:paraId="344B3BC6" w14:textId="55887328" w:rsidR="001A1F6F" w:rsidRPr="00151DAE" w:rsidRDefault="00A52D8A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151DAE">
        <w:rPr>
          <w:rFonts w:ascii="Arial" w:hAnsi="Arial" w:cs="Arial"/>
          <w:spacing w:val="-2"/>
        </w:rPr>
        <w:t xml:space="preserve">Rozhodnutí o umístění stavby č.j. MÚVB/4846/20/VÝST/URB vydané odborem výstavby a ŽP </w:t>
      </w:r>
      <w:proofErr w:type="spellStart"/>
      <w:r w:rsidRPr="00151DAE">
        <w:rPr>
          <w:rFonts w:ascii="Arial" w:hAnsi="Arial" w:cs="Arial"/>
          <w:spacing w:val="-2"/>
        </w:rPr>
        <w:t>MěÚ</w:t>
      </w:r>
      <w:proofErr w:type="spellEnd"/>
      <w:r w:rsidRPr="00151DAE">
        <w:rPr>
          <w:rFonts w:ascii="Arial" w:hAnsi="Arial" w:cs="Arial"/>
          <w:spacing w:val="-2"/>
        </w:rPr>
        <w:t xml:space="preserve"> Velká Bíteš dne 3.9.2020</w:t>
      </w:r>
    </w:p>
    <w:p w14:paraId="4BECD73C" w14:textId="77777777" w:rsidR="00930DF0" w:rsidRPr="00151DAE" w:rsidRDefault="00930DF0" w:rsidP="00930DF0">
      <w:pPr>
        <w:pStyle w:val="Odstavecseseznamem"/>
        <w:rPr>
          <w:rFonts w:ascii="Arial" w:hAnsi="Arial" w:cs="Arial"/>
        </w:rPr>
      </w:pPr>
    </w:p>
    <w:p w14:paraId="53107758" w14:textId="6C930CBB" w:rsidR="002467ED" w:rsidRPr="00D74698" w:rsidRDefault="008652C9" w:rsidP="00786C2E">
      <w:pPr>
        <w:pStyle w:val="Zkladntextodsazen21"/>
        <w:numPr>
          <w:ilvl w:val="1"/>
          <w:numId w:val="6"/>
        </w:numPr>
        <w:spacing w:after="120"/>
        <w:ind w:left="567" w:hanging="567"/>
        <w:rPr>
          <w:rFonts w:ascii="Arial" w:hAnsi="Arial" w:cs="Arial"/>
          <w:sz w:val="22"/>
        </w:rPr>
      </w:pPr>
      <w:r w:rsidRPr="00930DF0">
        <w:rPr>
          <w:rFonts w:ascii="Arial" w:hAnsi="Arial" w:cs="Arial"/>
          <w:sz w:val="22"/>
        </w:rPr>
        <w:t>Č</w:t>
      </w:r>
      <w:r w:rsidR="00CC4FFF" w:rsidRPr="00930DF0">
        <w:rPr>
          <w:rFonts w:ascii="Arial" w:hAnsi="Arial" w:cs="Arial"/>
          <w:sz w:val="22"/>
        </w:rPr>
        <w:t xml:space="preserve">lenění stavebních </w:t>
      </w:r>
      <w:r w:rsidR="00CC4FFF" w:rsidRPr="00D74698">
        <w:rPr>
          <w:rFonts w:ascii="Arial" w:hAnsi="Arial" w:cs="Arial"/>
          <w:sz w:val="22"/>
        </w:rPr>
        <w:t>objektů</w:t>
      </w:r>
      <w:r w:rsidR="0070081E" w:rsidRPr="00D74698">
        <w:rPr>
          <w:rFonts w:ascii="Arial" w:hAnsi="Arial" w:cs="Arial"/>
          <w:sz w:val="22"/>
        </w:rPr>
        <w:t xml:space="preserve"> (dle soupisu prací)</w:t>
      </w:r>
      <w:r w:rsidRPr="00D74698">
        <w:rPr>
          <w:rFonts w:ascii="Arial" w:hAnsi="Arial" w:cs="Arial"/>
          <w:sz w:val="22"/>
        </w:rPr>
        <w:t xml:space="preserve"> je následující: </w:t>
      </w:r>
    </w:p>
    <w:p w14:paraId="7D36269F" w14:textId="7D016226" w:rsidR="000A5502" w:rsidRPr="00D74698" w:rsidRDefault="000A5502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D74698">
        <w:rPr>
          <w:rFonts w:ascii="Arial" w:hAnsi="Arial" w:cs="Arial"/>
          <w:sz w:val="22"/>
          <w:szCs w:val="22"/>
        </w:rPr>
        <w:t xml:space="preserve">Dle PD </w:t>
      </w:r>
      <w:r w:rsidRPr="00D74698">
        <w:rPr>
          <w:rFonts w:ascii="Arial" w:hAnsi="Arial" w:cs="Arial"/>
          <w:sz w:val="22"/>
          <w:szCs w:val="22"/>
          <w:u w:val="single"/>
        </w:rPr>
        <w:t>„III/3928 Velká Bíteš – rekonstrukce násypu</w:t>
      </w:r>
      <w:r w:rsidR="00407110" w:rsidRPr="00D74698">
        <w:rPr>
          <w:rFonts w:ascii="Arial" w:hAnsi="Arial" w:cs="Arial"/>
          <w:sz w:val="22"/>
          <w:szCs w:val="22"/>
          <w:u w:val="single"/>
        </w:rPr>
        <w:t>, aktualizace 2020</w:t>
      </w:r>
      <w:r w:rsidRPr="00D74698">
        <w:rPr>
          <w:rFonts w:ascii="Arial" w:hAnsi="Arial" w:cs="Arial"/>
          <w:sz w:val="22"/>
          <w:szCs w:val="22"/>
          <w:u w:val="single"/>
        </w:rPr>
        <w:t>“</w:t>
      </w:r>
    </w:p>
    <w:p w14:paraId="152B17E3" w14:textId="2EB228B9" w:rsidR="00DC4C5A" w:rsidRPr="00D74698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74698">
        <w:rPr>
          <w:rFonts w:ascii="Arial" w:hAnsi="Arial"/>
        </w:rPr>
        <w:t xml:space="preserve">SO 102 – </w:t>
      </w:r>
      <w:r w:rsidR="00EA352A" w:rsidRPr="00D74698">
        <w:rPr>
          <w:rFonts w:ascii="Arial" w:hAnsi="Arial"/>
        </w:rPr>
        <w:t>Chodníky</w:t>
      </w:r>
    </w:p>
    <w:p w14:paraId="03D11535" w14:textId="77777777" w:rsidR="007067BB" w:rsidRPr="00D74698" w:rsidRDefault="007067BB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4C618F93" w14:textId="21E0B8B5" w:rsidR="007067BB" w:rsidRPr="00D74698" w:rsidRDefault="007067BB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D74698">
        <w:rPr>
          <w:rFonts w:ascii="Arial" w:hAnsi="Arial" w:cs="Arial"/>
          <w:sz w:val="22"/>
          <w:szCs w:val="22"/>
        </w:rPr>
        <w:t xml:space="preserve">Dle PD </w:t>
      </w:r>
      <w:r w:rsidRPr="00D74698">
        <w:rPr>
          <w:rFonts w:ascii="Arial" w:hAnsi="Arial" w:cs="Arial"/>
          <w:sz w:val="22"/>
          <w:szCs w:val="22"/>
          <w:u w:val="single"/>
        </w:rPr>
        <w:t xml:space="preserve">„III/3928 Velká Bíteš – rekonstrukce násypu </w:t>
      </w:r>
      <w:r w:rsidRPr="00D74698">
        <w:rPr>
          <w:rFonts w:ascii="Arial" w:hAnsi="Arial" w:cs="Arial"/>
          <w:bCs/>
          <w:sz w:val="22"/>
          <w:szCs w:val="22"/>
          <w:u w:val="single"/>
        </w:rPr>
        <w:t>- chodník v ulici Rajhradská, Velká Bíteš“</w:t>
      </w:r>
    </w:p>
    <w:p w14:paraId="31401EB5" w14:textId="7D5021D6" w:rsidR="00DC4C5A" w:rsidRPr="00D74698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74698">
        <w:rPr>
          <w:rFonts w:ascii="Arial" w:hAnsi="Arial"/>
        </w:rPr>
        <w:t xml:space="preserve">SO </w:t>
      </w:r>
      <w:r w:rsidR="00EA352A" w:rsidRPr="00D74698">
        <w:rPr>
          <w:rFonts w:ascii="Arial" w:hAnsi="Arial"/>
        </w:rPr>
        <w:t>30</w:t>
      </w:r>
      <w:r w:rsidRPr="00D74698">
        <w:rPr>
          <w:rFonts w:ascii="Arial" w:hAnsi="Arial"/>
        </w:rPr>
        <w:t xml:space="preserve">1 – </w:t>
      </w:r>
      <w:r w:rsidR="00EA352A" w:rsidRPr="00D74698">
        <w:rPr>
          <w:rFonts w:ascii="Arial" w:hAnsi="Arial"/>
        </w:rPr>
        <w:t>Dešťová kanalizace</w:t>
      </w:r>
    </w:p>
    <w:p w14:paraId="3E1288CE" w14:textId="643B5F54" w:rsidR="00EA352A" w:rsidRPr="00D74698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74698">
        <w:rPr>
          <w:rFonts w:ascii="Arial" w:hAnsi="Arial"/>
        </w:rPr>
        <w:t xml:space="preserve">SO </w:t>
      </w:r>
      <w:r w:rsidR="00A63CFD" w:rsidRPr="00D74698">
        <w:rPr>
          <w:rFonts w:ascii="Arial" w:hAnsi="Arial"/>
        </w:rPr>
        <w:t>4</w:t>
      </w:r>
      <w:r w:rsidR="00EA352A" w:rsidRPr="00D74698">
        <w:rPr>
          <w:rFonts w:ascii="Arial" w:hAnsi="Arial"/>
        </w:rPr>
        <w:t>02</w:t>
      </w:r>
      <w:r w:rsidRPr="00D74698">
        <w:rPr>
          <w:rFonts w:ascii="Arial" w:hAnsi="Arial"/>
        </w:rPr>
        <w:t xml:space="preserve"> – </w:t>
      </w:r>
      <w:r w:rsidR="00EA352A" w:rsidRPr="00D74698">
        <w:rPr>
          <w:rFonts w:ascii="Arial" w:hAnsi="Arial"/>
        </w:rPr>
        <w:t>Nasvícení přechodu pro chodce a veřejné osvětlení</w:t>
      </w:r>
    </w:p>
    <w:p w14:paraId="7BEF27CF" w14:textId="77777777" w:rsidR="002606B8" w:rsidRPr="00D74698" w:rsidRDefault="002606B8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74698">
        <w:rPr>
          <w:rFonts w:ascii="Arial" w:hAnsi="Arial"/>
        </w:rPr>
        <w:t>SO 403 – Metropolitní síť</w:t>
      </w:r>
    </w:p>
    <w:p w14:paraId="7625A54C" w14:textId="77777777" w:rsidR="00EA352A" w:rsidRPr="00D74698" w:rsidRDefault="00EA352A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</w:rPr>
      </w:pPr>
    </w:p>
    <w:p w14:paraId="1AF5DD5D" w14:textId="77777777" w:rsidR="00EA352A" w:rsidRPr="00EA352A" w:rsidRDefault="00EA352A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D74698">
        <w:rPr>
          <w:rFonts w:ascii="Arial" w:hAnsi="Arial" w:cs="Arial"/>
          <w:sz w:val="22"/>
          <w:szCs w:val="22"/>
        </w:rPr>
        <w:t xml:space="preserve">Dle PD </w:t>
      </w:r>
      <w:r w:rsidRPr="00D74698">
        <w:rPr>
          <w:rFonts w:ascii="Arial" w:hAnsi="Arial" w:cs="Arial"/>
          <w:sz w:val="22"/>
          <w:szCs w:val="22"/>
          <w:u w:val="single"/>
        </w:rPr>
        <w:t xml:space="preserve">„Prodloužení ulice Rajhradská ve Velké </w:t>
      </w:r>
      <w:r w:rsidRPr="00EA352A">
        <w:rPr>
          <w:rFonts w:ascii="Arial" w:hAnsi="Arial" w:cs="Arial"/>
          <w:sz w:val="22"/>
          <w:szCs w:val="22"/>
          <w:u w:val="single"/>
        </w:rPr>
        <w:t>Bíteši (silnice III/3928 směr Jestřabí) – 1. etapa“</w:t>
      </w:r>
    </w:p>
    <w:p w14:paraId="471D49EE" w14:textId="2C19480F" w:rsidR="00DC4C5A" w:rsidRPr="00A06F7F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>
        <w:rPr>
          <w:rFonts w:ascii="Arial" w:hAnsi="Arial"/>
        </w:rPr>
        <w:t>SO 10</w:t>
      </w:r>
      <w:r w:rsidR="00EA352A">
        <w:rPr>
          <w:rFonts w:ascii="Arial" w:hAnsi="Arial"/>
        </w:rPr>
        <w:t>3</w:t>
      </w:r>
      <w:r w:rsidRPr="00A06F7F">
        <w:rPr>
          <w:rFonts w:ascii="Arial" w:hAnsi="Arial"/>
        </w:rPr>
        <w:t xml:space="preserve"> – </w:t>
      </w:r>
      <w:r w:rsidR="00A63CFD">
        <w:rPr>
          <w:rFonts w:ascii="Arial" w:hAnsi="Arial"/>
        </w:rPr>
        <w:t>Chodník</w:t>
      </w:r>
    </w:p>
    <w:p w14:paraId="3800C0A6" w14:textId="77777777" w:rsidR="00EA352A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>
        <w:rPr>
          <w:rFonts w:ascii="Arial" w:hAnsi="Arial"/>
        </w:rPr>
        <w:t xml:space="preserve">SO </w:t>
      </w:r>
      <w:r w:rsidR="00EA352A">
        <w:rPr>
          <w:rFonts w:ascii="Arial" w:hAnsi="Arial"/>
        </w:rPr>
        <w:t>40</w:t>
      </w:r>
      <w:r>
        <w:rPr>
          <w:rFonts w:ascii="Arial" w:hAnsi="Arial"/>
        </w:rPr>
        <w:t>1</w:t>
      </w:r>
      <w:r w:rsidRPr="00A06F7F">
        <w:rPr>
          <w:rFonts w:ascii="Arial" w:hAnsi="Arial"/>
        </w:rPr>
        <w:t xml:space="preserve"> – </w:t>
      </w:r>
      <w:r w:rsidR="00EA352A">
        <w:rPr>
          <w:rFonts w:ascii="Arial" w:hAnsi="Arial"/>
        </w:rPr>
        <w:t>Veřejné osvětlení</w:t>
      </w:r>
    </w:p>
    <w:p w14:paraId="304D5DCF" w14:textId="77777777" w:rsidR="00EA352A" w:rsidRDefault="00EA352A" w:rsidP="00786C2E">
      <w:pPr>
        <w:pStyle w:val="Zkladntextodsazen3"/>
        <w:ind w:left="993"/>
        <w:jc w:val="both"/>
        <w:rPr>
          <w:rFonts w:ascii="Arial" w:hAnsi="Arial" w:cs="Arial"/>
          <w:sz w:val="22"/>
          <w:szCs w:val="22"/>
        </w:rPr>
      </w:pPr>
    </w:p>
    <w:p w14:paraId="5B643BA7" w14:textId="48FCF864" w:rsidR="00EA352A" w:rsidRPr="00EA352A" w:rsidRDefault="00EA352A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Dle PD </w:t>
      </w:r>
      <w:r w:rsidRPr="00EA352A">
        <w:rPr>
          <w:rFonts w:ascii="Arial" w:hAnsi="Arial" w:cs="Arial"/>
          <w:sz w:val="22"/>
          <w:szCs w:val="22"/>
          <w:u w:val="single"/>
        </w:rPr>
        <w:t>„</w:t>
      </w:r>
      <w:r w:rsidR="00A63CFD">
        <w:rPr>
          <w:rFonts w:ascii="Arial" w:hAnsi="Arial" w:cs="Arial"/>
          <w:sz w:val="22"/>
          <w:szCs w:val="22"/>
          <w:u w:val="single"/>
        </w:rPr>
        <w:t>Zřízení vo</w:t>
      </w:r>
      <w:r>
        <w:rPr>
          <w:rFonts w:ascii="Arial" w:hAnsi="Arial" w:cs="Arial"/>
          <w:sz w:val="22"/>
          <w:szCs w:val="22"/>
          <w:u w:val="single"/>
        </w:rPr>
        <w:t>dovodní</w:t>
      </w:r>
      <w:r w:rsidR="00A63CFD">
        <w:rPr>
          <w:rFonts w:ascii="Arial" w:hAnsi="Arial" w:cs="Arial"/>
          <w:sz w:val="22"/>
          <w:szCs w:val="22"/>
          <w:u w:val="single"/>
        </w:rPr>
        <w:t>ch</w:t>
      </w:r>
      <w:r>
        <w:rPr>
          <w:rFonts w:ascii="Arial" w:hAnsi="Arial" w:cs="Arial"/>
          <w:sz w:val="22"/>
          <w:szCs w:val="22"/>
          <w:u w:val="single"/>
        </w:rPr>
        <w:t xml:space="preserve"> a kanalizační</w:t>
      </w:r>
      <w:r w:rsidR="00A63CFD">
        <w:rPr>
          <w:rFonts w:ascii="Arial" w:hAnsi="Arial" w:cs="Arial"/>
          <w:sz w:val="22"/>
          <w:szCs w:val="22"/>
          <w:u w:val="single"/>
        </w:rPr>
        <w:t>ch</w:t>
      </w:r>
      <w:r>
        <w:rPr>
          <w:rFonts w:ascii="Arial" w:hAnsi="Arial" w:cs="Arial"/>
          <w:sz w:val="22"/>
          <w:szCs w:val="22"/>
          <w:u w:val="single"/>
        </w:rPr>
        <w:t xml:space="preserve"> přípoj</w:t>
      </w:r>
      <w:r w:rsidR="00A63CFD">
        <w:rPr>
          <w:rFonts w:ascii="Arial" w:hAnsi="Arial" w:cs="Arial"/>
          <w:sz w:val="22"/>
          <w:szCs w:val="22"/>
          <w:u w:val="single"/>
        </w:rPr>
        <w:t>e</w:t>
      </w:r>
      <w:r>
        <w:rPr>
          <w:rFonts w:ascii="Arial" w:hAnsi="Arial" w:cs="Arial"/>
          <w:sz w:val="22"/>
          <w:szCs w:val="22"/>
          <w:u w:val="single"/>
        </w:rPr>
        <w:t>k v</w:t>
      </w:r>
      <w:r w:rsidR="00A63CFD">
        <w:rPr>
          <w:rFonts w:ascii="Arial" w:hAnsi="Arial" w:cs="Arial"/>
          <w:sz w:val="22"/>
          <w:szCs w:val="22"/>
          <w:u w:val="single"/>
        </w:rPr>
        <w:t xml:space="preserve"> lokalitě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EA352A">
        <w:rPr>
          <w:rFonts w:ascii="Arial" w:hAnsi="Arial" w:cs="Arial"/>
          <w:sz w:val="22"/>
          <w:szCs w:val="22"/>
          <w:u w:val="single"/>
        </w:rPr>
        <w:t>ul</w:t>
      </w:r>
      <w:r w:rsidR="00A63CFD">
        <w:rPr>
          <w:rFonts w:ascii="Arial" w:hAnsi="Arial" w:cs="Arial"/>
          <w:sz w:val="22"/>
          <w:szCs w:val="22"/>
          <w:u w:val="single"/>
        </w:rPr>
        <w:t xml:space="preserve">. </w:t>
      </w:r>
      <w:r w:rsidRPr="00EA352A">
        <w:rPr>
          <w:rFonts w:ascii="Arial" w:hAnsi="Arial" w:cs="Arial"/>
          <w:sz w:val="22"/>
          <w:szCs w:val="22"/>
          <w:u w:val="single"/>
        </w:rPr>
        <w:t>Rajhradsk</w:t>
      </w:r>
      <w:r w:rsidR="00A63CFD">
        <w:rPr>
          <w:rFonts w:ascii="Arial" w:hAnsi="Arial" w:cs="Arial"/>
          <w:sz w:val="22"/>
          <w:szCs w:val="22"/>
          <w:u w:val="single"/>
        </w:rPr>
        <w:t>é</w:t>
      </w:r>
      <w:r w:rsidRPr="00EA352A">
        <w:rPr>
          <w:rFonts w:ascii="Arial" w:hAnsi="Arial" w:cs="Arial"/>
          <w:sz w:val="22"/>
          <w:szCs w:val="22"/>
          <w:u w:val="single"/>
        </w:rPr>
        <w:t xml:space="preserve"> ve Velké Bíteši“</w:t>
      </w:r>
    </w:p>
    <w:p w14:paraId="2F514B8A" w14:textId="12E55D89" w:rsidR="00EA352A" w:rsidRPr="00A06F7F" w:rsidRDefault="00EA352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>
        <w:rPr>
          <w:rFonts w:ascii="Arial" w:hAnsi="Arial"/>
        </w:rPr>
        <w:t>SO 302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Vodovodní a kanalizační přípojky</w:t>
      </w:r>
    </w:p>
    <w:p w14:paraId="10AC30BC" w14:textId="78916E4C" w:rsidR="00226545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D74698">
      <w:pPr>
        <w:pStyle w:val="Zkladntextodsazen21"/>
        <w:numPr>
          <w:ilvl w:val="1"/>
          <w:numId w:val="6"/>
        </w:numPr>
        <w:ind w:left="426" w:hanging="426"/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lastRenderedPageBreak/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4BCCE259" w:rsidR="006560BA" w:rsidRPr="00EE48BB" w:rsidRDefault="00215BFB" w:rsidP="00A023E0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16961C85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A023E0">
        <w:rPr>
          <w:rFonts w:cs="Arial"/>
          <w:szCs w:val="22"/>
        </w:rPr>
        <w:t xml:space="preserve"> v rozsahu </w:t>
      </w:r>
      <w:r w:rsidR="00654C88">
        <w:rPr>
          <w:rFonts w:cs="Arial"/>
          <w:szCs w:val="22"/>
        </w:rPr>
        <w:t xml:space="preserve">pro každý případ </w:t>
      </w:r>
      <w:r w:rsidR="00A023E0">
        <w:rPr>
          <w:rFonts w:cs="Arial"/>
          <w:szCs w:val="22"/>
        </w:rPr>
        <w:t>nejméně 50 ks fotek</w:t>
      </w:r>
      <w:r w:rsidR="00215BFB" w:rsidRPr="00A546E2">
        <w:rPr>
          <w:rFonts w:cs="Arial"/>
          <w:szCs w:val="22"/>
        </w:rPr>
        <w:t>,</w:t>
      </w:r>
    </w:p>
    <w:p w14:paraId="4E26FD96" w14:textId="4A527251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654C88">
        <w:rPr>
          <w:rFonts w:cs="Arial"/>
          <w:szCs w:val="22"/>
        </w:rPr>
        <w:t xml:space="preserve"> v rozsahu pro každý případ nejméně 50 ks fotek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354223BA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B13A50">
        <w:tab/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A71FF">
        <w:rPr>
          <w:spacing w:val="-6"/>
        </w:rPr>
        <w:t>S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5DC879E3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654C88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654C88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7484B450" w14:textId="28C2690A" w:rsidR="00703067" w:rsidRDefault="00F73D91" w:rsidP="00A63CFD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632838EA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654C88">
        <w:rPr>
          <w:rFonts w:cs="Arial"/>
          <w:spacing w:val="-4"/>
          <w:szCs w:val="22"/>
        </w:rPr>
        <w:t>ní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0E8D3D92" w14:textId="6CC1AC80" w:rsidR="001A65FB" w:rsidRPr="00BC2FCE" w:rsidRDefault="001A65FB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předložení dokladu o zajištění požadovaných asfaltových směsí pro stavbu dle </w:t>
      </w:r>
      <w:r w:rsidR="0081444B" w:rsidRPr="009A50B9">
        <w:rPr>
          <w:rFonts w:cs="Arial"/>
        </w:rPr>
        <w:t>technický</w:t>
      </w:r>
      <w:r w:rsidR="0081444B">
        <w:rPr>
          <w:rFonts w:cs="Arial"/>
        </w:rPr>
        <w:t>ch</w:t>
      </w:r>
      <w:r w:rsidR="0081444B" w:rsidRPr="009A50B9">
        <w:rPr>
          <w:rFonts w:cs="Arial"/>
        </w:rPr>
        <w:t xml:space="preserve"> kvalitativní</w:t>
      </w:r>
      <w:r w:rsidR="0081444B">
        <w:rPr>
          <w:rFonts w:cs="Arial"/>
        </w:rPr>
        <w:t>ch</w:t>
      </w:r>
      <w:r w:rsidR="0081444B" w:rsidRPr="009A50B9">
        <w:rPr>
          <w:rFonts w:cs="Arial"/>
        </w:rPr>
        <w:t xml:space="preserve"> podmín</w:t>
      </w:r>
      <w:r w:rsidR="0081444B">
        <w:rPr>
          <w:rFonts w:cs="Arial"/>
        </w:rPr>
        <w:t>e</w:t>
      </w:r>
      <w:r w:rsidR="0081444B" w:rsidRPr="009A50B9">
        <w:rPr>
          <w:rFonts w:cs="Arial"/>
        </w:rPr>
        <w:t>k</w:t>
      </w:r>
      <w:r w:rsidR="0081444B" w:rsidRPr="00BC2FCE">
        <w:rPr>
          <w:rFonts w:cs="Arial"/>
          <w:szCs w:val="22"/>
        </w:rPr>
        <w:t xml:space="preserve"> </w:t>
      </w:r>
      <w:r w:rsidR="0081444B">
        <w:rPr>
          <w:rFonts w:cs="Arial"/>
          <w:szCs w:val="22"/>
        </w:rPr>
        <w:t>(dále též „</w:t>
      </w:r>
      <w:r w:rsidR="0081444B" w:rsidRPr="00BC2FCE">
        <w:rPr>
          <w:rFonts w:cs="Arial"/>
          <w:szCs w:val="22"/>
        </w:rPr>
        <w:t>TKP</w:t>
      </w:r>
      <w:r w:rsidR="0081444B">
        <w:rPr>
          <w:rFonts w:cs="Arial"/>
          <w:szCs w:val="22"/>
        </w:rPr>
        <w:t>“)</w:t>
      </w:r>
      <w:r>
        <w:rPr>
          <w:rFonts w:cs="Arial"/>
          <w:szCs w:val="22"/>
        </w:rPr>
        <w:t xml:space="preserve"> před zahájením pokládky asfaltových vrstev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48A557AD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</w:t>
      </w:r>
      <w:r w:rsidR="00735E5E">
        <w:rPr>
          <w:rFonts w:cs="Arial"/>
          <w:szCs w:val="22"/>
        </w:rPr>
        <w:t>, ve znění pozdějších předpisů</w:t>
      </w:r>
      <w:r w:rsidR="0036142E" w:rsidRPr="0036142E">
        <w:rPr>
          <w:rFonts w:cs="Arial"/>
          <w:szCs w:val="22"/>
        </w:rPr>
        <w:t>)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1F8B3A10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D2093D">
        <w:t xml:space="preserve"> v rozsahu minimálně 20 ks za měsíc</w:t>
      </w:r>
      <w:r w:rsidR="00503D0A" w:rsidRPr="00925A01">
        <w:t>,</w:t>
      </w:r>
    </w:p>
    <w:p w14:paraId="220C15EB" w14:textId="13856354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  <w:rPr>
          <w:bCs/>
          <w:spacing w:val="-6"/>
        </w:rPr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>objednateli minimálně 14 dní před odevzdáním k</w:t>
      </w:r>
      <w:r w:rsidR="00F90164">
        <w:rPr>
          <w:bCs/>
          <w:spacing w:val="-6"/>
        </w:rPr>
        <w:t> </w:t>
      </w:r>
      <w:r>
        <w:rPr>
          <w:bCs/>
          <w:spacing w:val="-6"/>
        </w:rPr>
        <w:t>odsouhlasení</w:t>
      </w:r>
      <w:r w:rsidR="00F90164">
        <w:rPr>
          <w:bCs/>
          <w:spacing w:val="-6"/>
        </w:rPr>
        <w:t>,</w:t>
      </w:r>
    </w:p>
    <w:p w14:paraId="40ECFAB6" w14:textId="325B7F4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D2093D">
        <w:t>,</w:t>
      </w:r>
    </w:p>
    <w:p w14:paraId="706FCD5D" w14:textId="5F12A580" w:rsidR="00D2093D" w:rsidRDefault="00D2093D" w:rsidP="00D2093D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lang w:eastAsia="cs-CZ"/>
        </w:rPr>
      </w:pPr>
      <w:r>
        <w:t xml:space="preserve">  - poskytnutí potřebné </w:t>
      </w:r>
      <w:r w:rsidRPr="00B479E0">
        <w:rPr>
          <w:rFonts w:ascii="Arial" w:hAnsi="Arial" w:cs="Arial"/>
        </w:rPr>
        <w:t>součinnosti koordinátorovi bezpečnosti a ochrany zdraví, náklady na požadavky stanovené koordinátorem BOZP</w:t>
      </w:r>
      <w:r>
        <w:rPr>
          <w:rFonts w:ascii="Arial" w:hAnsi="Arial" w:cs="Arial"/>
        </w:rPr>
        <w:t>,</w:t>
      </w:r>
    </w:p>
    <w:p w14:paraId="0C266206" w14:textId="7E64B761" w:rsidR="00D2093D" w:rsidRPr="00B479E0" w:rsidRDefault="00D2093D" w:rsidP="00A63CFD">
      <w:pPr>
        <w:overflowPunct w:val="0"/>
        <w:autoSpaceDE w:val="0"/>
        <w:autoSpaceDN w:val="0"/>
        <w:adjustRightInd w:val="0"/>
        <w:ind w:left="284" w:hanging="142"/>
        <w:jc w:val="both"/>
        <w:textAlignment w:val="baseline"/>
        <w:rPr>
          <w:rFonts w:ascii="Arial" w:hAnsi="Arial" w:cs="Arial"/>
          <w:lang w:eastAsia="cs-CZ"/>
        </w:rPr>
      </w:pPr>
      <w:r>
        <w:rPr>
          <w:rFonts w:ascii="Arial" w:hAnsi="Arial" w:cs="Arial"/>
        </w:rPr>
        <w:t xml:space="preserve">- </w:t>
      </w:r>
      <w:r w:rsidRPr="00B479E0">
        <w:rPr>
          <w:rFonts w:ascii="Arial" w:hAnsi="Arial" w:cs="Arial"/>
        </w:rPr>
        <w:t>poskytnutí součinnosti při montážních pracích správců inženýrských sítí (umožnění přístupu na staveniště a provedení montážních prací)</w:t>
      </w:r>
      <w:r>
        <w:rPr>
          <w:rFonts w:ascii="Arial" w:hAnsi="Arial" w:cs="Arial"/>
        </w:rPr>
        <w:t>.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2386E6BD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4A71FF">
        <w:rPr>
          <w:rFonts w:ascii="Arial" w:hAnsi="Arial" w:cs="Arial"/>
          <w:sz w:val="22"/>
        </w:rPr>
        <w:t>S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61598EA8" w:rsidR="0085694C" w:rsidRPr="00D74698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Pr="00D7469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0F7956" w:rsidRPr="00D74698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3343DB" w:rsidRPr="00D74698">
        <w:rPr>
          <w:rFonts w:ascii="Arial" w:hAnsi="Arial" w:cs="Arial"/>
          <w:b w:val="0"/>
          <w:bCs w:val="0"/>
          <w:sz w:val="22"/>
          <w:szCs w:val="22"/>
          <w:lang w:val="cs-CZ"/>
        </w:rPr>
        <w:t>7</w:t>
      </w:r>
      <w:r w:rsidRPr="00D74698">
        <w:rPr>
          <w:rFonts w:ascii="Arial" w:hAnsi="Arial" w:cs="Arial"/>
          <w:b w:val="0"/>
          <w:bCs w:val="0"/>
          <w:sz w:val="22"/>
          <w:szCs w:val="22"/>
        </w:rPr>
        <w:t>/20</w:t>
      </w:r>
      <w:r w:rsidR="003343DB" w:rsidRPr="00D74698">
        <w:rPr>
          <w:rFonts w:ascii="Arial" w:hAnsi="Arial" w:cs="Arial"/>
          <w:b w:val="0"/>
          <w:bCs w:val="0"/>
          <w:sz w:val="22"/>
          <w:szCs w:val="22"/>
          <w:lang w:val="cs-CZ"/>
        </w:rPr>
        <w:t>21</w:t>
      </w:r>
    </w:p>
    <w:p w14:paraId="30804D63" w14:textId="77777777" w:rsidR="0085694C" w:rsidRPr="00D74698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26E5E596" w:rsidR="0085694C" w:rsidRPr="00D74698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D74698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D74698">
        <w:rPr>
          <w:rFonts w:ascii="Arial" w:hAnsi="Arial" w:cs="Arial"/>
          <w:b w:val="0"/>
          <w:sz w:val="22"/>
          <w:szCs w:val="22"/>
          <w:lang w:val="cs-CZ"/>
        </w:rPr>
        <w:tab/>
      </w:r>
      <w:r w:rsidR="007067BB" w:rsidRPr="00D74698">
        <w:rPr>
          <w:rFonts w:ascii="Arial" w:hAnsi="Arial" w:cs="Arial"/>
          <w:b w:val="0"/>
          <w:bCs w:val="0"/>
          <w:sz w:val="22"/>
          <w:szCs w:val="22"/>
        </w:rPr>
        <w:t>do 27.10</w:t>
      </w:r>
      <w:r w:rsidR="0085694C" w:rsidRPr="00D74698">
        <w:rPr>
          <w:rFonts w:ascii="Arial" w:hAnsi="Arial" w:cs="Arial"/>
          <w:b w:val="0"/>
          <w:bCs w:val="0"/>
          <w:sz w:val="22"/>
          <w:szCs w:val="22"/>
        </w:rPr>
        <w:t>.20</w:t>
      </w:r>
      <w:r w:rsidR="000F7956" w:rsidRPr="00D7469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343DB" w:rsidRPr="00D7469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14:paraId="4F346ABE" w14:textId="77777777" w:rsidR="0085694C" w:rsidRPr="00D74698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D74698">
        <w:rPr>
          <w:rFonts w:ascii="Arial" w:hAnsi="Arial" w:cs="Arial"/>
          <w:vertAlign w:val="superscript"/>
        </w:rPr>
        <w:t xml:space="preserve">      </w:t>
      </w:r>
    </w:p>
    <w:p w14:paraId="28EFDA09" w14:textId="6CDCDB4B" w:rsidR="0085694C" w:rsidRPr="00D74698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D74698">
        <w:rPr>
          <w:rFonts w:ascii="Arial" w:hAnsi="Arial" w:cs="Arial"/>
        </w:rPr>
        <w:t>Dokončení díla vč. př</w:t>
      </w:r>
      <w:r w:rsidR="00B8357A" w:rsidRPr="00D74698">
        <w:rPr>
          <w:rFonts w:ascii="Arial" w:hAnsi="Arial" w:cs="Arial"/>
        </w:rPr>
        <w:t>edání kompletní dokladové části</w:t>
      </w:r>
      <w:r w:rsidR="00B8357A" w:rsidRPr="00D74698">
        <w:rPr>
          <w:rFonts w:ascii="Arial" w:hAnsi="Arial" w:cs="Arial"/>
        </w:rPr>
        <w:tab/>
      </w:r>
      <w:r w:rsidRPr="00D74698">
        <w:rPr>
          <w:rFonts w:ascii="Arial" w:hAnsi="Arial" w:cs="Arial"/>
        </w:rPr>
        <w:t xml:space="preserve">do </w:t>
      </w:r>
      <w:r w:rsidR="007067BB" w:rsidRPr="00D74698">
        <w:rPr>
          <w:rFonts w:ascii="Arial" w:hAnsi="Arial" w:cs="Arial"/>
        </w:rPr>
        <w:t>20</w:t>
      </w:r>
      <w:r w:rsidR="003343DB" w:rsidRPr="00D74698">
        <w:rPr>
          <w:rFonts w:ascii="Arial" w:hAnsi="Arial" w:cs="Arial"/>
        </w:rPr>
        <w:t>.1</w:t>
      </w:r>
      <w:r w:rsidR="007067BB" w:rsidRPr="00D74698">
        <w:rPr>
          <w:rFonts w:ascii="Arial" w:hAnsi="Arial" w:cs="Arial"/>
        </w:rPr>
        <w:t>2</w:t>
      </w:r>
      <w:r w:rsidR="000F7956" w:rsidRPr="00D74698">
        <w:rPr>
          <w:rFonts w:ascii="Arial" w:hAnsi="Arial" w:cs="Arial"/>
        </w:rPr>
        <w:t>.202</w:t>
      </w:r>
      <w:r w:rsidR="003343DB" w:rsidRPr="00D74698">
        <w:rPr>
          <w:rFonts w:ascii="Arial" w:hAnsi="Arial" w:cs="Arial"/>
        </w:rPr>
        <w:t>2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46A3E67D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E34B0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(tj. od 1. listopadu do 31. března)</w:t>
      </w:r>
      <w:r w:rsidRPr="00B57C09">
        <w:rPr>
          <w:rFonts w:ascii="Arial" w:hAnsi="Arial" w:cs="Arial"/>
        </w:rPr>
        <w:t xml:space="preserve"> </w:t>
      </w:r>
      <w:r w:rsidR="008B3210" w:rsidRPr="008B3210">
        <w:rPr>
          <w:rFonts w:ascii="Arial" w:hAnsi="Arial" w:cs="Arial"/>
        </w:rPr>
        <w:t xml:space="preserve">nebudou prováděny </w:t>
      </w:r>
      <w:r w:rsidR="00580623">
        <w:rPr>
          <w:rFonts w:ascii="Arial" w:hAnsi="Arial" w:cs="Arial"/>
        </w:rPr>
        <w:t xml:space="preserve">jakékoliv stavební </w:t>
      </w:r>
      <w:r w:rsidR="008B3210" w:rsidRPr="008B3210">
        <w:rPr>
          <w:rFonts w:ascii="Arial" w:hAnsi="Arial" w:cs="Arial"/>
        </w:rPr>
        <w:t xml:space="preserve">práce, které by </w:t>
      </w:r>
      <w:r w:rsidR="00580623">
        <w:rPr>
          <w:rFonts w:ascii="Arial" w:hAnsi="Arial" w:cs="Arial"/>
        </w:rPr>
        <w:t xml:space="preserve">znamenaly omezení (byť jen částečné) </w:t>
      </w:r>
      <w:r w:rsidR="008B3210" w:rsidRPr="008B3210">
        <w:rPr>
          <w:rFonts w:ascii="Arial" w:hAnsi="Arial" w:cs="Arial"/>
        </w:rPr>
        <w:t xml:space="preserve">provozu </w:t>
      </w:r>
      <w:r w:rsidR="00580623">
        <w:rPr>
          <w:rFonts w:ascii="Arial" w:hAnsi="Arial" w:cs="Arial"/>
        </w:rPr>
        <w:t xml:space="preserve">na pozemních komunikacích </w:t>
      </w:r>
      <w:r w:rsidR="008B3210" w:rsidRPr="008B3210">
        <w:rPr>
          <w:rFonts w:ascii="Arial" w:hAnsi="Arial" w:cs="Arial"/>
        </w:rPr>
        <w:t>a zimní údržbě.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04808A85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4A71FF">
        <w:rPr>
          <w:rFonts w:ascii="Arial" w:hAnsi="Arial" w:cs="Arial"/>
        </w:rPr>
        <w:t>S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4035BBC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účastník zadávacího řízení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4B0AF48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7DBB2250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lastRenderedPageBreak/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5557A12A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</w:t>
      </w:r>
      <w:r w:rsidR="00D2093D">
        <w:rPr>
          <w:rFonts w:cs="Arial"/>
          <w:szCs w:val="22"/>
        </w:rPr>
        <w:t>RTS</w:t>
      </w:r>
      <w:r w:rsidRPr="009A50B9">
        <w:rPr>
          <w:rFonts w:cs="Arial"/>
          <w:szCs w:val="22"/>
        </w:rPr>
        <w:t xml:space="preserve">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 xml:space="preserve">v cenové soustavě </w:t>
      </w:r>
      <w:r w:rsidR="00580623">
        <w:rPr>
          <w:rFonts w:cs="Arial"/>
          <w:szCs w:val="22"/>
        </w:rPr>
        <w:t>RTS</w:t>
      </w:r>
      <w:r w:rsidR="00CB79C1">
        <w:rPr>
          <w:rFonts w:cs="Arial"/>
          <w:szCs w:val="22"/>
        </w:rPr>
        <w:t>,</w:t>
      </w:r>
    </w:p>
    <w:p w14:paraId="5F7726F3" w14:textId="6293FE6D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</w:t>
      </w:r>
      <w:r w:rsidR="002C21C4">
        <w:rPr>
          <w:rFonts w:cs="Arial"/>
          <w:szCs w:val="22"/>
        </w:rPr>
        <w:t>RTS</w:t>
      </w:r>
      <w:r w:rsidRPr="009A50B9">
        <w:rPr>
          <w:rFonts w:cs="Arial"/>
          <w:szCs w:val="22"/>
        </w:rPr>
        <w:t xml:space="preserve">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1635DC39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 xml:space="preserve">ebude-li možno užít položky cenové soustavy </w:t>
      </w:r>
      <w:r w:rsidR="002C21C4">
        <w:rPr>
          <w:rFonts w:cs="Arial"/>
          <w:szCs w:val="22"/>
        </w:rPr>
        <w:t>RTS</w:t>
      </w:r>
      <w:r w:rsidR="00DE42E8" w:rsidRPr="009A50B9">
        <w:rPr>
          <w:rFonts w:cs="Arial"/>
          <w:szCs w:val="22"/>
        </w:rPr>
        <w:t>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3F3E18B6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</w:t>
      </w:r>
      <w:r w:rsidR="002C21C4">
        <w:rPr>
          <w:rStyle w:val="NormlnChar"/>
          <w:lang w:eastAsia="cs-CZ"/>
        </w:rPr>
        <w:t>RTS</w:t>
      </w:r>
      <w:r w:rsidRPr="009A50B9">
        <w:rPr>
          <w:rStyle w:val="NormlnChar"/>
          <w:lang w:eastAsia="cs-CZ"/>
        </w:rPr>
        <w:t xml:space="preserve">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98C8C8C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2C21C4">
        <w:t>RTS</w:t>
      </w:r>
      <w:r w:rsidR="00FC03C3" w:rsidRPr="005F468D">
        <w:t xml:space="preserve"> se</w:t>
      </w:r>
      <w:r w:rsidRPr="005F468D">
        <w:t xml:space="preserve"> rozumí </w:t>
      </w:r>
      <w:r w:rsidR="00E21091" w:rsidRPr="005F468D">
        <w:t>ceny</w:t>
      </w:r>
      <w:r w:rsidR="00C149BA">
        <w:t xml:space="preserve"> v</w:t>
      </w:r>
      <w:r w:rsidR="00E23FB6">
        <w:t xml:space="preserve"> době podání nabídky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00E9E784" w:rsidR="00351E8D" w:rsidRDefault="00351E8D" w:rsidP="004E4DE7">
      <w:pPr>
        <w:pStyle w:val="Bntext2"/>
        <w:tabs>
          <w:tab w:val="clear" w:pos="-1560"/>
        </w:tabs>
        <w:ind w:left="0"/>
      </w:pPr>
    </w:p>
    <w:p w14:paraId="28635DBD" w14:textId="77777777" w:rsidR="004E4DE7" w:rsidRPr="009A50B9" w:rsidRDefault="004E4DE7" w:rsidP="004E4DE7">
      <w:pPr>
        <w:pStyle w:val="Bntext2"/>
        <w:tabs>
          <w:tab w:val="clear" w:pos="-1560"/>
        </w:tabs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CB79C1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D74698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 xml:space="preserve">uskutečněné vždy posledního dne daného kalendářního měsíce, pokud </w:t>
      </w:r>
      <w:r w:rsidRPr="00D74698">
        <w:rPr>
          <w:rFonts w:ascii="Arial" w:hAnsi="Arial" w:cs="Arial"/>
          <w:bCs/>
          <w:spacing w:val="-6"/>
          <w:sz w:val="22"/>
        </w:rPr>
        <w:t>ustanovení zákona o dani z přidané</w:t>
      </w:r>
      <w:r w:rsidRPr="00D74698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D74698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73091B8B" w14:textId="77777777" w:rsidR="00E01343" w:rsidRPr="00D74698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74698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D74698">
        <w:rPr>
          <w:rFonts w:ascii="Arial" w:hAnsi="Arial" w:cs="Arial"/>
          <w:bCs/>
          <w:sz w:val="22"/>
        </w:rPr>
        <w:t>faktur</w:t>
      </w:r>
      <w:r w:rsidRPr="00D74698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D74698">
        <w:rPr>
          <w:rFonts w:ascii="Arial" w:hAnsi="Arial" w:cs="Arial"/>
          <w:bCs/>
          <w:sz w:val="22"/>
        </w:rPr>
        <w:t xml:space="preserve"> </w:t>
      </w:r>
      <w:r w:rsidR="00E130EC" w:rsidRPr="00D74698">
        <w:rPr>
          <w:rFonts w:ascii="Arial" w:hAnsi="Arial" w:cs="Arial"/>
          <w:bCs/>
          <w:sz w:val="22"/>
        </w:rPr>
        <w:t>odst</w:t>
      </w:r>
      <w:r w:rsidRPr="00D74698">
        <w:rPr>
          <w:rFonts w:ascii="Arial" w:hAnsi="Arial" w:cs="Arial"/>
          <w:bCs/>
          <w:sz w:val="22"/>
        </w:rPr>
        <w:t>. 1.1</w:t>
      </w:r>
      <w:r w:rsidR="00E130EC" w:rsidRPr="00D74698">
        <w:rPr>
          <w:rFonts w:ascii="Arial" w:hAnsi="Arial" w:cs="Arial"/>
          <w:bCs/>
          <w:sz w:val="22"/>
        </w:rPr>
        <w:t>.</w:t>
      </w:r>
      <w:r w:rsidRPr="00D74698">
        <w:rPr>
          <w:rFonts w:ascii="Arial" w:hAnsi="Arial" w:cs="Arial"/>
          <w:bCs/>
          <w:sz w:val="22"/>
        </w:rPr>
        <w:t xml:space="preserve"> této smlouvy.  </w:t>
      </w:r>
      <w:r w:rsidR="00AA3C05" w:rsidRPr="00D74698">
        <w:rPr>
          <w:rFonts w:ascii="Arial" w:hAnsi="Arial" w:cs="Arial"/>
          <w:bCs/>
          <w:sz w:val="22"/>
        </w:rPr>
        <w:br/>
      </w:r>
      <w:r w:rsidRPr="00D74698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74698">
        <w:rPr>
          <w:rFonts w:ascii="Arial" w:hAnsi="Arial" w:cs="Arial"/>
          <w:bCs/>
          <w:sz w:val="22"/>
        </w:rPr>
        <w:t>e</w:t>
      </w:r>
      <w:r w:rsidR="00E01343" w:rsidRPr="00D74698">
        <w:rPr>
          <w:rFonts w:ascii="Arial" w:hAnsi="Arial" w:cs="Arial"/>
          <w:bCs/>
          <w:sz w:val="22"/>
        </w:rPr>
        <w:t>:</w:t>
      </w:r>
      <w:r w:rsidR="00034C6D" w:rsidRPr="00D74698">
        <w:rPr>
          <w:rFonts w:ascii="Arial" w:hAnsi="Arial" w:cs="Arial"/>
          <w:b/>
          <w:bCs/>
          <w:sz w:val="22"/>
        </w:rPr>
        <w:t xml:space="preserve"> </w:t>
      </w:r>
    </w:p>
    <w:p w14:paraId="4F944327" w14:textId="77777777" w:rsidR="00E01343" w:rsidRPr="00D74698" w:rsidRDefault="00E01343" w:rsidP="00E01343">
      <w:pPr>
        <w:pStyle w:val="Odstavecseseznamem"/>
        <w:rPr>
          <w:rFonts w:ascii="Arial" w:hAnsi="Arial" w:cs="Arial"/>
          <w:bCs/>
        </w:rPr>
      </w:pPr>
    </w:p>
    <w:p w14:paraId="75097CC5" w14:textId="0A23A448" w:rsidR="00E01343" w:rsidRPr="00D74698" w:rsidRDefault="00E01343" w:rsidP="00E01343">
      <w:pPr>
        <w:pStyle w:val="Zkladntextodsazen"/>
        <w:tabs>
          <w:tab w:val="num" w:pos="712"/>
        </w:tabs>
        <w:jc w:val="both"/>
        <w:rPr>
          <w:rFonts w:ascii="Arial" w:hAnsi="Arial" w:cs="Arial"/>
          <w:b/>
          <w:bCs/>
          <w:sz w:val="22"/>
        </w:rPr>
      </w:pPr>
      <w:r w:rsidRPr="00D74698">
        <w:rPr>
          <w:rFonts w:ascii="Arial" w:hAnsi="Arial" w:cs="Arial"/>
          <w:bCs/>
          <w:sz w:val="22"/>
        </w:rPr>
        <w:tab/>
      </w:r>
      <w:r w:rsidR="001A5D86" w:rsidRPr="00D74698">
        <w:rPr>
          <w:rFonts w:ascii="Arial" w:hAnsi="Arial" w:cs="Arial"/>
          <w:bCs/>
          <w:sz w:val="22"/>
        </w:rPr>
        <w:t>Projekt</w:t>
      </w:r>
      <w:r w:rsidRPr="00D74698">
        <w:rPr>
          <w:rFonts w:ascii="Arial" w:hAnsi="Arial" w:cs="Arial"/>
          <w:bCs/>
          <w:sz w:val="22"/>
        </w:rPr>
        <w:t>:</w:t>
      </w:r>
      <w:r w:rsidR="001A5D86" w:rsidRPr="00D74698">
        <w:rPr>
          <w:rFonts w:ascii="Arial" w:hAnsi="Arial" w:cs="Arial"/>
          <w:b/>
          <w:bCs/>
          <w:sz w:val="22"/>
        </w:rPr>
        <w:t xml:space="preserve"> </w:t>
      </w:r>
      <w:r w:rsidRPr="00D74698">
        <w:rPr>
          <w:rFonts w:ascii="Arial" w:hAnsi="Arial" w:cs="Arial"/>
          <w:b/>
          <w:bCs/>
          <w:sz w:val="22"/>
        </w:rPr>
        <w:t>„</w:t>
      </w:r>
      <w:r w:rsidR="001A5D86" w:rsidRPr="00D74698">
        <w:rPr>
          <w:rFonts w:ascii="Arial" w:hAnsi="Arial" w:cs="Arial"/>
          <w:b/>
          <w:bCs/>
          <w:sz w:val="22"/>
        </w:rPr>
        <w:t>Výstavba chodníku v ulicích Rajhradská – Jihlavská, Velká Bíteš</w:t>
      </w:r>
      <w:r w:rsidR="00E82DEF" w:rsidRPr="00D74698">
        <w:rPr>
          <w:rFonts w:ascii="Arial" w:hAnsi="Arial" w:cs="Arial"/>
          <w:b/>
          <w:bCs/>
          <w:sz w:val="22"/>
        </w:rPr>
        <w:t>“</w:t>
      </w:r>
    </w:p>
    <w:p w14:paraId="61DB59BB" w14:textId="67061161" w:rsidR="00EB4CAA" w:rsidRPr="00D74698" w:rsidRDefault="00E01343" w:rsidP="00E01343">
      <w:pPr>
        <w:pStyle w:val="Zkladntextodsazen"/>
        <w:tabs>
          <w:tab w:val="num" w:pos="712"/>
        </w:tabs>
        <w:jc w:val="both"/>
        <w:rPr>
          <w:rFonts w:ascii="Arial" w:hAnsi="Arial" w:cs="Arial"/>
          <w:b/>
          <w:bCs/>
          <w:sz w:val="22"/>
        </w:rPr>
      </w:pPr>
      <w:r w:rsidRPr="00D74698">
        <w:rPr>
          <w:rFonts w:ascii="Arial" w:hAnsi="Arial" w:cs="Arial"/>
          <w:bCs/>
          <w:sz w:val="22"/>
        </w:rPr>
        <w:tab/>
        <w:t>Identifikační číslo EIS:</w:t>
      </w:r>
      <w:r w:rsidRPr="00D74698">
        <w:rPr>
          <w:rFonts w:ascii="Arial" w:hAnsi="Arial" w:cs="Arial"/>
          <w:b/>
          <w:bCs/>
          <w:sz w:val="22"/>
        </w:rPr>
        <w:t xml:space="preserve"> CZ.06.4.59/0.0/0.0/16_038/0015206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7B3F4D2F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lastRenderedPageBreak/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79C846F3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>Faktury vystavené zhotovitelem budou vyhotoveny ve dvou vyhotoveních a doručeny na adresu objednatele. Doloženy budou zjišťovacím protokolem a soupisem provedených prací potvrzeným TD</w:t>
      </w:r>
      <w:r w:rsidR="004A71FF">
        <w:rPr>
          <w:rFonts w:ascii="Arial" w:hAnsi="Arial" w:cs="Arial"/>
          <w:bCs/>
          <w:sz w:val="22"/>
        </w:rPr>
        <w:t>S</w:t>
      </w:r>
      <w:r w:rsidRPr="00AA1E31">
        <w:rPr>
          <w:rFonts w:ascii="Arial" w:hAnsi="Arial" w:cs="Arial"/>
          <w:bCs/>
          <w:sz w:val="22"/>
        </w:rPr>
        <w:t xml:space="preserve">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02540BE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</w:t>
      </w:r>
      <w:r w:rsidR="004A71FF">
        <w:rPr>
          <w:rFonts w:ascii="Arial" w:hAnsi="Arial" w:cs="Arial"/>
          <w:bCs/>
          <w:sz w:val="22"/>
        </w:rPr>
        <w:t>formou výstupu z rozpočtového programu.</w:t>
      </w:r>
      <w:r w:rsidRPr="009A50B9">
        <w:rPr>
          <w:rFonts w:ascii="Arial" w:hAnsi="Arial" w:cs="Arial"/>
          <w:bCs/>
          <w:sz w:val="22"/>
        </w:rPr>
        <w:t xml:space="preserve"> Soupis bude obsahovat položkový rozpočet dodaného materiálu a provedených prací za konkrétní období. Položkový rozpočet </w:t>
      </w:r>
      <w:r w:rsidR="004A71FF">
        <w:rPr>
          <w:rFonts w:ascii="Arial" w:hAnsi="Arial" w:cs="Arial"/>
          <w:bCs/>
          <w:sz w:val="22"/>
        </w:rPr>
        <w:t>nebude obsahovat položky s nulou. Soupis musí obsahovat celkový objem prací, objem prací provedených za sledované období, objem prací od začátku a zbývající objem prací.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302ED30" w14:textId="3EA485F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4BA03409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E4DE7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 w:rsidP="004E4DE7">
      <w:pPr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2FB8B225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</w:t>
      </w:r>
      <w:r w:rsidR="00627070">
        <w:rPr>
          <w:rFonts w:ascii="Arial" w:hAnsi="Arial" w:cs="Arial"/>
          <w:sz w:val="22"/>
        </w:rPr>
        <w:t xml:space="preserve">ve </w:t>
      </w:r>
      <w:r w:rsidRPr="00BB7658">
        <w:rPr>
          <w:rFonts w:ascii="Arial" w:hAnsi="Arial" w:cs="Arial"/>
          <w:sz w:val="22"/>
        </w:rPr>
        <w:t>2 vyhotoveních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4E4DE7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4E4DE7">
      <w:pPr>
        <w:pStyle w:val="Zkladntextodsazen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751E86C4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 xml:space="preserve">stránky. Do stavebního deníku jsou mimo stavbyvedoucího zhotovitele </w:t>
      </w:r>
      <w:r w:rsidRPr="00104194">
        <w:rPr>
          <w:rFonts w:ascii="Arial" w:hAnsi="Arial" w:cs="Arial"/>
          <w:spacing w:val="-2"/>
          <w:sz w:val="22"/>
        </w:rPr>
        <w:lastRenderedPageBreak/>
        <w:t>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="004A71FF">
        <w:rPr>
          <w:rFonts w:ascii="Arial" w:hAnsi="Arial" w:cs="Arial"/>
          <w:spacing w:val="-2"/>
          <w:sz w:val="22"/>
        </w:rPr>
        <w:t>S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7B286974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4A71FF">
        <w:rPr>
          <w:rFonts w:ascii="Arial" w:hAnsi="Arial" w:cs="Arial"/>
          <w:sz w:val="22"/>
        </w:rPr>
        <w:t>S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02E2D69A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="004A71FF">
        <w:rPr>
          <w:rFonts w:ascii="Arial" w:hAnsi="Arial" w:cs="Arial"/>
          <w:sz w:val="22"/>
        </w:rPr>
        <w:t>S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B929FDF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CB79C1" w:rsidRPr="001C74E5">
        <w:rPr>
          <w:rFonts w:ascii="Arial" w:hAnsi="Arial" w:cs="Arial"/>
          <w:i/>
          <w:sz w:val="22"/>
        </w:rPr>
        <w:t>bude doplněn před podpisem smlouvy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7A28BA3C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210FD22B" w14:textId="77777777" w:rsidR="004E4DE7" w:rsidRPr="009A50B9" w:rsidRDefault="004E4DE7">
      <w:pPr>
        <w:pStyle w:val="Zkladntextodsazen21"/>
        <w:ind w:left="0" w:firstLine="0"/>
        <w:rPr>
          <w:rFonts w:ascii="Arial" w:hAnsi="Arial"/>
          <w:sz w:val="22"/>
        </w:rPr>
      </w:pPr>
    </w:p>
    <w:p w14:paraId="45E518C5" w14:textId="77777777" w:rsidR="004E4DE7" w:rsidRDefault="004E4DE7">
      <w:pPr>
        <w:pStyle w:val="Zkladntextodsazen21"/>
        <w:ind w:left="0" w:firstLine="0"/>
        <w:rPr>
          <w:rFonts w:ascii="Arial" w:hAnsi="Arial"/>
          <w:sz w:val="22"/>
        </w:rPr>
      </w:pPr>
    </w:p>
    <w:p w14:paraId="73987562" w14:textId="77777777" w:rsidR="004E4DE7" w:rsidRDefault="004E4DE7">
      <w:pPr>
        <w:pStyle w:val="Zkladntextodsazen21"/>
        <w:ind w:left="0" w:firstLine="0"/>
        <w:rPr>
          <w:rFonts w:ascii="Arial" w:hAnsi="Arial"/>
          <w:sz w:val="22"/>
        </w:rPr>
      </w:pPr>
    </w:p>
    <w:p w14:paraId="3C0AA654" w14:textId="77777777" w:rsidR="004E4DE7" w:rsidRDefault="004E4DE7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6AFA9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="004A71FF">
        <w:rPr>
          <w:rFonts w:ascii="Arial" w:hAnsi="Arial"/>
          <w:sz w:val="22"/>
        </w:rPr>
        <w:t>S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2023D34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>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03CD0C84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>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1798296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21EDCD4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>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39660A9F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2D7248CC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E173A8" w:rsidRPr="00D74698">
        <w:rPr>
          <w:rFonts w:ascii="Arial" w:hAnsi="Arial" w:cs="Arial"/>
          <w:sz w:val="22"/>
        </w:rPr>
        <w:t xml:space="preserve">DSP, </w:t>
      </w:r>
      <w:r w:rsidR="007F77EE" w:rsidRPr="00D74698">
        <w:rPr>
          <w:rFonts w:ascii="Arial" w:hAnsi="Arial" w:cs="Arial"/>
          <w:sz w:val="22"/>
        </w:rPr>
        <w:t>PDPS</w:t>
      </w:r>
      <w:r w:rsidRPr="00D74698">
        <w:rPr>
          <w:rFonts w:ascii="Arial" w:hAnsi="Arial" w:cs="Arial"/>
          <w:sz w:val="22"/>
        </w:rPr>
        <w:t xml:space="preserve"> a RDS, geodetické zaměření provedených prací, případně další požadavky objednatele.</w:t>
      </w:r>
      <w:r w:rsidR="007F77EE" w:rsidRPr="00D74698">
        <w:rPr>
          <w:rFonts w:ascii="Arial" w:hAnsi="Arial" w:cs="Arial"/>
          <w:sz w:val="22"/>
        </w:rPr>
        <w:t xml:space="preserve"> DSPS</w:t>
      </w:r>
      <w:r w:rsidRPr="00D74698">
        <w:rPr>
          <w:rFonts w:ascii="Arial" w:hAnsi="Arial" w:cs="Arial"/>
          <w:sz w:val="22"/>
        </w:rPr>
        <w:t xml:space="preserve"> bude zpracována v souladu s</w:t>
      </w:r>
      <w:r w:rsidR="00CB79C1" w:rsidRPr="00D74698">
        <w:rPr>
          <w:rFonts w:ascii="Arial" w:hAnsi="Arial" w:cs="Arial"/>
          <w:sz w:val="22"/>
        </w:rPr>
        <w:t> obecně platnými předpisy a pokyny objednatele</w:t>
      </w:r>
      <w:r w:rsidRPr="00D74698">
        <w:rPr>
          <w:rFonts w:ascii="Arial" w:hAnsi="Arial" w:cs="Arial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7AD3F088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</w:t>
      </w:r>
      <w:r w:rsidR="00CB79C1">
        <w:rPr>
          <w:rFonts w:ascii="Arial" w:hAnsi="Arial" w:cs="Arial"/>
          <w:color w:val="000000"/>
          <w:sz w:val="22"/>
        </w:rPr>
        <w:t>i.</w:t>
      </w:r>
      <w:r w:rsidRPr="0074020D">
        <w:rPr>
          <w:rFonts w:ascii="Arial" w:hAnsi="Arial" w:cs="Arial"/>
          <w:color w:val="000000"/>
          <w:sz w:val="22"/>
        </w:rPr>
        <w:t xml:space="preserve"> V případě, že v rámci projednání uzavírky u příslušného silničního správního úřadu dojde ke změně, je zhotovitel povinen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</w:t>
      </w:r>
      <w:r w:rsidR="003012CD" w:rsidRPr="0074020D">
        <w:rPr>
          <w:rFonts w:ascii="Arial" w:hAnsi="Arial" w:cs="Arial"/>
          <w:color w:val="000000"/>
          <w:sz w:val="22"/>
        </w:rPr>
        <w:lastRenderedPageBreak/>
        <w:t xml:space="preserve">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064D9137" w14:textId="77777777" w:rsidR="009A51E4" w:rsidRDefault="009A51E4" w:rsidP="004E4DE7">
      <w:pPr>
        <w:jc w:val="center"/>
        <w:rPr>
          <w:rFonts w:ascii="Arial" w:hAnsi="Arial" w:cs="Arial"/>
          <w:b/>
        </w:rPr>
      </w:pPr>
    </w:p>
    <w:p w14:paraId="65AB4BD4" w14:textId="77777777" w:rsidR="009A51E4" w:rsidRDefault="009A51E4" w:rsidP="004E4DE7">
      <w:pPr>
        <w:jc w:val="center"/>
        <w:rPr>
          <w:rFonts w:ascii="Arial" w:hAnsi="Arial" w:cs="Arial"/>
          <w:b/>
        </w:rPr>
      </w:pPr>
    </w:p>
    <w:p w14:paraId="51FEAF53" w14:textId="10C1FD3D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D74698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</w:t>
      </w:r>
      <w:r w:rsidRPr="00D74698">
        <w:rPr>
          <w:szCs w:val="22"/>
        </w:rPr>
        <w:t xml:space="preserve">stavebního deníku </w:t>
      </w:r>
    </w:p>
    <w:p w14:paraId="0E7A6D2A" w14:textId="3BAEF92A" w:rsidR="00856A9A" w:rsidRPr="00D74698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D74698">
        <w:t>DSPS</w:t>
      </w:r>
      <w:r w:rsidR="00F30041" w:rsidRPr="00D74698">
        <w:t xml:space="preserve"> ve </w:t>
      </w:r>
      <w:r w:rsidR="00E173A8" w:rsidRPr="00D74698">
        <w:t>2</w:t>
      </w:r>
      <w:r w:rsidR="00F30041" w:rsidRPr="00D74698">
        <w:t xml:space="preserve"> </w:t>
      </w:r>
      <w:r w:rsidR="003012CD" w:rsidRPr="00D74698">
        <w:t>tištěných vyhotoveních</w:t>
      </w:r>
      <w:r w:rsidR="00FB20B9" w:rsidRPr="00D74698">
        <w:t xml:space="preserve"> a </w:t>
      </w:r>
      <w:r w:rsidR="00E173A8" w:rsidRPr="00D74698">
        <w:t>2</w:t>
      </w:r>
      <w:r w:rsidR="00B467A4" w:rsidRPr="00D74698">
        <w:t xml:space="preserve"> x </w:t>
      </w:r>
      <w:r w:rsidR="0047371E" w:rsidRPr="00D74698">
        <w:t>CD (viz</w:t>
      </w:r>
      <w:r w:rsidR="00FB20B9" w:rsidRPr="00D74698">
        <w:t xml:space="preserve"> </w:t>
      </w:r>
      <w:r w:rsidR="0047371E" w:rsidRPr="00D74698">
        <w:t xml:space="preserve">odst. </w:t>
      </w:r>
      <w:r w:rsidR="00FB20B9" w:rsidRPr="00D74698">
        <w:t>7.16</w:t>
      </w:r>
      <w:r w:rsidR="0047371E" w:rsidRPr="00D74698">
        <w:t>.</w:t>
      </w:r>
      <w:r w:rsidR="00FB20B9" w:rsidRPr="00D74698">
        <w:t>)</w:t>
      </w:r>
    </w:p>
    <w:p w14:paraId="09BAA334" w14:textId="77777777" w:rsidR="00485B5A" w:rsidRPr="00D74698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D74698">
        <w:rPr>
          <w:spacing w:val="-6"/>
          <w:szCs w:val="22"/>
        </w:rPr>
        <w:t xml:space="preserve">závěrečnou zprávu zhotovitele o jakosti provedeného díla ve </w:t>
      </w:r>
      <w:r w:rsidR="00EA3C3B" w:rsidRPr="00D74698">
        <w:rPr>
          <w:spacing w:val="-6"/>
          <w:szCs w:val="22"/>
        </w:rPr>
        <w:t>4</w:t>
      </w:r>
      <w:r w:rsidRPr="00D74698">
        <w:rPr>
          <w:spacing w:val="-6"/>
          <w:szCs w:val="22"/>
        </w:rPr>
        <w:t xml:space="preserve"> </w:t>
      </w:r>
      <w:r w:rsidR="00B467A4" w:rsidRPr="00D74698">
        <w:rPr>
          <w:spacing w:val="-6"/>
          <w:szCs w:val="22"/>
        </w:rPr>
        <w:t xml:space="preserve">tištěných </w:t>
      </w:r>
      <w:r w:rsidRPr="00D74698">
        <w:rPr>
          <w:spacing w:val="-6"/>
          <w:szCs w:val="22"/>
        </w:rPr>
        <w:t>vyhotoveních</w:t>
      </w:r>
      <w:r w:rsidR="00FB20B9" w:rsidRPr="00D74698">
        <w:rPr>
          <w:spacing w:val="-6"/>
          <w:szCs w:val="22"/>
        </w:rPr>
        <w:t xml:space="preserve"> a </w:t>
      </w:r>
      <w:r w:rsidR="00B467A4" w:rsidRPr="00D74698">
        <w:rPr>
          <w:spacing w:val="-6"/>
          <w:szCs w:val="22"/>
        </w:rPr>
        <w:t xml:space="preserve">1 x </w:t>
      </w:r>
      <w:r w:rsidR="00FB20B9" w:rsidRPr="00D74698">
        <w:rPr>
          <w:spacing w:val="-6"/>
          <w:szCs w:val="22"/>
        </w:rPr>
        <w:t>na CD</w:t>
      </w:r>
      <w:r w:rsidRPr="00D74698">
        <w:rPr>
          <w:spacing w:val="-6"/>
          <w:szCs w:val="22"/>
        </w:rPr>
        <w:t>,</w:t>
      </w:r>
      <w:r w:rsidRPr="00D74698">
        <w:rPr>
          <w:szCs w:val="22"/>
        </w:rPr>
        <w:t xml:space="preserve"> obsahující především tyto doklady: </w:t>
      </w:r>
      <w:r w:rsidRPr="00D74698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02E8ADF0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nedodělky. Odmítne-li objednatel dílo převzít, je povinen do zápisu uvést důvody tohoto odmítnutí. Objednatel nemá právo odmítnout převzetí stavby </w:t>
      </w:r>
      <w:r w:rsidRPr="009A50B9">
        <w:rPr>
          <w:rFonts w:ascii="Arial" w:hAnsi="Arial" w:cs="Arial"/>
          <w:sz w:val="22"/>
        </w:rPr>
        <w:lastRenderedPageBreak/>
        <w:t>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61792512" w:rsidR="00D45750" w:rsidRDefault="00D45750" w:rsidP="004E4DE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900B63" w14:textId="77777777" w:rsidR="004E4DE7" w:rsidRDefault="004E4DE7" w:rsidP="004E4DE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9BEAF38" w14:textId="564418CC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58506EC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15257AE1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</w:t>
      </w:r>
      <w:r w:rsidR="00CB79C1">
        <w:rPr>
          <w:rFonts w:ascii="Arial" w:hAnsi="Arial" w:cs="Arial"/>
          <w:spacing w:val="4"/>
          <w:sz w:val="22"/>
        </w:rPr>
        <w:t>ét</w:t>
      </w:r>
      <w:r w:rsidRPr="006F21CD">
        <w:rPr>
          <w:rFonts w:ascii="Arial" w:hAnsi="Arial" w:cs="Arial"/>
          <w:spacing w:val="4"/>
          <w:sz w:val="22"/>
        </w:rPr>
        <w:t>o</w:t>
      </w:r>
      <w:r w:rsidR="00CB79C1">
        <w:rPr>
          <w:rFonts w:ascii="Arial" w:hAnsi="Arial" w:cs="Arial"/>
          <w:spacing w:val="4"/>
          <w:sz w:val="22"/>
        </w:rPr>
        <w:t xml:space="preserve"> smlouvy</w:t>
      </w:r>
      <w:r w:rsidRPr="006F21CD">
        <w:rPr>
          <w:rFonts w:ascii="Arial" w:hAnsi="Arial" w:cs="Arial"/>
          <w:spacing w:val="4"/>
          <w:sz w:val="22"/>
        </w:rPr>
        <w:t xml:space="preserve">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4DD1A256" w:rsidR="002D3E74" w:rsidRDefault="002D3E74" w:rsidP="004E4DE7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14:paraId="7E4D8ED6" w14:textId="77777777" w:rsidR="004E4DE7" w:rsidRDefault="004E4DE7" w:rsidP="004E4DE7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9103A1C" w:rsidR="00BF0073" w:rsidRDefault="00924BA5" w:rsidP="00CB79C1">
      <w:pPr>
        <w:pStyle w:val="Zkladntextodsazen"/>
        <w:numPr>
          <w:ilvl w:val="1"/>
          <w:numId w:val="15"/>
        </w:numPr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CB79C1">
        <w:rPr>
          <w:rFonts w:ascii="Arial" w:hAnsi="Arial" w:cs="Arial"/>
          <w:sz w:val="22"/>
        </w:rPr>
        <w:t>1</w:t>
      </w:r>
      <w:r w:rsidR="00212555">
        <w:rPr>
          <w:rFonts w:ascii="Arial" w:hAnsi="Arial" w:cs="Arial"/>
          <w:sz w:val="22"/>
        </w:rPr>
        <w:t>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CB79C1">
      <w:pPr>
        <w:pStyle w:val="Odstavecseseznamem"/>
        <w:ind w:left="709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1C138888" w14:textId="4216C2D3" w:rsidR="00DE5009" w:rsidRDefault="00DE5009" w:rsidP="004E4DE7">
      <w:pPr>
        <w:jc w:val="center"/>
        <w:rPr>
          <w:rFonts w:ascii="Arial" w:hAnsi="Arial" w:cs="Arial"/>
          <w:b/>
          <w:bCs/>
        </w:rPr>
      </w:pPr>
    </w:p>
    <w:p w14:paraId="7E3CE2C1" w14:textId="77777777" w:rsidR="004E4DE7" w:rsidRDefault="004E4DE7" w:rsidP="004E4DE7">
      <w:pPr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 xml:space="preserve">sjednané </w:t>
      </w:r>
      <w:r w:rsidRPr="00DD03CA">
        <w:rPr>
          <w:rFonts w:ascii="Arial" w:hAnsi="Arial" w:cs="Arial"/>
          <w:spacing w:val="4"/>
          <w:sz w:val="22"/>
        </w:rPr>
        <w:lastRenderedPageBreak/>
        <w:t>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39BDAE82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</w:t>
      </w:r>
      <w:r w:rsidR="004A71FF">
        <w:rPr>
          <w:rFonts w:ascii="Arial" w:hAnsi="Arial"/>
          <w:sz w:val="22"/>
          <w:szCs w:val="24"/>
          <w:lang w:eastAsia="cs-CZ"/>
        </w:rPr>
        <w:t>S</w:t>
      </w:r>
      <w:r w:rsidRPr="009A50B9">
        <w:rPr>
          <w:rFonts w:ascii="Arial" w:hAnsi="Arial"/>
          <w:sz w:val="22"/>
          <w:szCs w:val="24"/>
          <w:lang w:eastAsia="cs-CZ"/>
        </w:rPr>
        <w:t xml:space="preserve">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2904E532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11807A3D" w14:textId="4B67750D" w:rsidR="004E4DE7" w:rsidRDefault="004E4DE7" w:rsidP="004E4DE7">
      <w:pPr>
        <w:pStyle w:val="Odstavecseseznamem"/>
        <w:rPr>
          <w:rFonts w:ascii="Arial" w:hAnsi="Arial" w:cs="Arial"/>
        </w:rPr>
      </w:pPr>
    </w:p>
    <w:p w14:paraId="3BD97539" w14:textId="2252BFCA" w:rsidR="004E4DE7" w:rsidRDefault="004E4DE7" w:rsidP="004E4DE7">
      <w:pPr>
        <w:pStyle w:val="Zkladntextodsazen"/>
        <w:jc w:val="both"/>
        <w:rPr>
          <w:rFonts w:ascii="Arial" w:hAnsi="Arial" w:cs="Arial"/>
          <w:sz w:val="22"/>
        </w:rPr>
      </w:pPr>
    </w:p>
    <w:p w14:paraId="7A077B0B" w14:textId="60B939F4" w:rsidR="00FF0841" w:rsidRDefault="00FF0841" w:rsidP="004E4DE7">
      <w:pPr>
        <w:pStyle w:val="Zkladntextodsazen"/>
        <w:keepNext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3CF12FD1" w14:textId="77777777" w:rsidR="004E4DE7" w:rsidRDefault="004E4DE7" w:rsidP="004E4DE7">
      <w:pPr>
        <w:pStyle w:val="Zkladntextodsazen"/>
        <w:keepNext/>
        <w:jc w:val="center"/>
        <w:rPr>
          <w:rFonts w:ascii="Arial" w:hAnsi="Arial" w:cs="Arial"/>
          <w:b/>
          <w:sz w:val="22"/>
        </w:rPr>
      </w:pP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5C535C11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1D651E">
        <w:rPr>
          <w:rFonts w:ascii="Arial" w:hAnsi="Arial" w:cs="Arial"/>
        </w:rPr>
        <w:t>5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3A7B424F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1D651E">
        <w:rPr>
          <w:rFonts w:ascii="Arial" w:hAnsi="Arial" w:cs="Arial"/>
        </w:rPr>
        <w:t>2</w:t>
      </w:r>
      <w:r w:rsidR="00212555">
        <w:rPr>
          <w:rFonts w:ascii="Arial" w:hAnsi="Arial" w:cs="Arial"/>
        </w:rPr>
        <w:t>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14:paraId="668BA3C1" w14:textId="0821E7BE" w:rsidR="00F53AC1" w:rsidRDefault="00F53AC1" w:rsidP="00B67F70">
      <w:pPr>
        <w:jc w:val="center"/>
        <w:rPr>
          <w:rFonts w:ascii="Arial" w:hAnsi="Arial" w:cs="Arial"/>
          <w:b/>
        </w:rPr>
      </w:pPr>
    </w:p>
    <w:p w14:paraId="17C41208" w14:textId="77777777" w:rsidR="00B67F70" w:rsidRDefault="00B67F70" w:rsidP="00B67F70">
      <w:pPr>
        <w:jc w:val="center"/>
        <w:rPr>
          <w:rFonts w:ascii="Arial" w:hAnsi="Arial" w:cs="Arial"/>
          <w:b/>
        </w:rPr>
      </w:pPr>
    </w:p>
    <w:p w14:paraId="05993CB7" w14:textId="6261B9F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5A277C30" w14:textId="77777777" w:rsidR="00B67F70" w:rsidRPr="009A50B9" w:rsidRDefault="00B67F70" w:rsidP="00B67F70">
      <w:pPr>
        <w:jc w:val="center"/>
        <w:rPr>
          <w:rFonts w:ascii="Arial" w:hAnsi="Arial" w:cs="Arial"/>
          <w:b/>
        </w:rPr>
      </w:pP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28D9470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>Vzájemné pohledávky smluvních stran vzniklé ke dni odstoupení od smlouvy podle odst</w:t>
      </w:r>
      <w:r w:rsidR="00D74698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AAE827D" w:rsidR="00A6232C" w:rsidRDefault="00A6232C" w:rsidP="00B67F70">
      <w:pPr>
        <w:jc w:val="center"/>
        <w:rPr>
          <w:rFonts w:ascii="Arial" w:hAnsi="Arial" w:cs="Arial"/>
          <w:b/>
        </w:rPr>
      </w:pPr>
    </w:p>
    <w:p w14:paraId="13D0EA60" w14:textId="77777777" w:rsidR="00B67F70" w:rsidRDefault="00B67F70" w:rsidP="00B67F70">
      <w:pPr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8AE9606" w14:textId="77777777" w:rsidR="00AE3818" w:rsidRDefault="00005B39" w:rsidP="00AE3818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264930D9" w14:textId="77777777" w:rsidR="00AE3818" w:rsidRPr="00D74698" w:rsidRDefault="00AE3818" w:rsidP="00AE3818">
      <w:pPr>
        <w:pStyle w:val="Odstavecseseznamem"/>
        <w:rPr>
          <w:rFonts w:ascii="Arial" w:hAnsi="Arial" w:cs="Arial"/>
          <w:snapToGrid w:val="0"/>
        </w:rPr>
      </w:pPr>
    </w:p>
    <w:p w14:paraId="1B01E166" w14:textId="300068F2" w:rsidR="00AE3818" w:rsidRPr="00D74698" w:rsidRDefault="00AE3818" w:rsidP="00AE3818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74698">
        <w:rPr>
          <w:rFonts w:ascii="Arial" w:hAnsi="Arial" w:cs="Arial"/>
          <w:snapToGrid w:val="0"/>
          <w:sz w:val="22"/>
        </w:rPr>
        <w:t>Smluvní strany se zavazují postupovat v souladu s touto smlouvou a s právními předpisy upravujícími zadávání veřejných zakázek (především zákon o zadávání veřejných zakázkách (ZZVZ), v platném znění) a v souladu s příslušnými pravidly a výklady poskytovatele dotace.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53DAEE6C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která je předmětem této Smlouvy. Zhotovitel dále prohlašuje, že výše uvedená osoba pověřená výkonem TD</w:t>
      </w:r>
      <w:r w:rsidR="004A71FF">
        <w:rPr>
          <w:rFonts w:ascii="Arial" w:hAnsi="Arial" w:cs="Arial"/>
          <w:sz w:val="22"/>
        </w:rPr>
        <w:t>S</w:t>
      </w:r>
      <w:r w:rsidRPr="009A50B9">
        <w:rPr>
          <w:rFonts w:ascii="Arial" w:hAnsi="Arial" w:cs="Arial"/>
          <w:sz w:val="22"/>
        </w:rPr>
        <w:t xml:space="preserve">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151DAE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151DAE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151DAE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151DAE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Pr="00151DAE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5541C10" w14:textId="1AAB3EC6" w:rsidR="00A52D8A" w:rsidRPr="00151DAE" w:rsidRDefault="00A52D8A" w:rsidP="00A52D8A">
      <w:pPr>
        <w:pStyle w:val="Zkladntextodsazen21"/>
        <w:numPr>
          <w:ilvl w:val="1"/>
          <w:numId w:val="17"/>
        </w:numPr>
        <w:rPr>
          <w:rFonts w:ascii="Arial" w:hAnsi="Arial" w:cs="Arial"/>
          <w:sz w:val="22"/>
        </w:rPr>
      </w:pPr>
      <w:r w:rsidRPr="00151DAE">
        <w:rPr>
          <w:rFonts w:ascii="Arial" w:hAnsi="Arial" w:cs="Arial"/>
          <w:sz w:val="22"/>
        </w:rPr>
        <w:lastRenderedPageBreak/>
        <w:t xml:space="preserve">Předmět smlouvy bude částečně spolufinancován Ministerstvem pro místní rozvoj v rámci programu </w:t>
      </w:r>
      <w:r w:rsidRPr="00151DAE">
        <w:rPr>
          <w:rFonts w:ascii="Arial" w:hAnsi="Arial" w:cs="Arial"/>
          <w:b/>
          <w:sz w:val="22"/>
        </w:rPr>
        <w:t xml:space="preserve">11703 – Integrovaný regionální operační program, </w:t>
      </w:r>
      <w:r w:rsidRPr="00151DAE">
        <w:rPr>
          <w:rFonts w:ascii="Arial" w:hAnsi="Arial" w:cs="Arial"/>
          <w:sz w:val="22"/>
        </w:rPr>
        <w:t>název projektu</w:t>
      </w:r>
      <w:r w:rsidRPr="00151DAE">
        <w:rPr>
          <w:rFonts w:ascii="Arial" w:hAnsi="Arial" w:cs="Arial"/>
          <w:b/>
          <w:bCs/>
          <w:sz w:val="22"/>
        </w:rPr>
        <w:t xml:space="preserve"> Výstavba chodníku v ulicích Rajhradská – Jihlavská, Velká Bíteš, </w:t>
      </w:r>
      <w:r w:rsidRPr="00151DAE">
        <w:rPr>
          <w:rFonts w:ascii="Arial" w:hAnsi="Arial" w:cs="Arial"/>
          <w:bCs/>
          <w:sz w:val="22"/>
        </w:rPr>
        <w:t>identifikační číslo EIS</w:t>
      </w:r>
      <w:r w:rsidRPr="00151DAE">
        <w:rPr>
          <w:rFonts w:ascii="Arial" w:hAnsi="Arial" w:cs="Arial"/>
          <w:b/>
          <w:bCs/>
          <w:sz w:val="22"/>
        </w:rPr>
        <w:t xml:space="preserve"> CZ.06.4.59/0.0/0.0/16_038/0015206. </w:t>
      </w:r>
      <w:r w:rsidRPr="00151DAE">
        <w:rPr>
          <w:rFonts w:ascii="Arial" w:hAnsi="Arial" w:cs="Arial"/>
          <w:sz w:val="22"/>
        </w:rPr>
        <w:t>Zhotovitel bere na vědomí, že předmětem smlouvy jsou aktivity a výstupy, které budou tvořit součást projektu spolufinancovaného Evropskou unií v rámci IROP.</w:t>
      </w:r>
    </w:p>
    <w:p w14:paraId="5AEECFCC" w14:textId="77777777" w:rsidR="00A52D8A" w:rsidRPr="00151DAE" w:rsidRDefault="00A52D8A" w:rsidP="00A52D8A">
      <w:pPr>
        <w:pStyle w:val="Odstavecseseznamem"/>
        <w:rPr>
          <w:rFonts w:ascii="Arial" w:hAnsi="Arial" w:cs="Arial"/>
        </w:rPr>
      </w:pPr>
    </w:p>
    <w:p w14:paraId="79AA90FC" w14:textId="78782C9B" w:rsidR="00A11623" w:rsidRPr="00D74698" w:rsidRDefault="00F77E11" w:rsidP="00A11623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151DAE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151DAE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 w:rsidRPr="00151DAE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 xml:space="preserve">, osobou povinnou </w:t>
      </w:r>
      <w:r w:rsidRPr="00D74698">
        <w:rPr>
          <w:rFonts w:ascii="Arial" w:hAnsi="Arial" w:cs="Arial"/>
          <w:sz w:val="22"/>
        </w:rPr>
        <w:t>spolupůsobit při výkonu finanční kontroly.</w:t>
      </w:r>
      <w:r w:rsidR="00E01343" w:rsidRPr="00D74698">
        <w:rPr>
          <w:rFonts w:ascii="Arial" w:hAnsi="Arial" w:cs="Arial"/>
          <w:sz w:val="22"/>
        </w:rPr>
        <w:t xml:space="preserve"> </w:t>
      </w:r>
      <w:r w:rsidR="00A11623" w:rsidRPr="00D74698">
        <w:rPr>
          <w:rFonts w:ascii="Arial" w:hAnsi="Arial" w:cs="Arial"/>
          <w:iCs/>
          <w:snapToGrid w:val="0"/>
          <w:sz w:val="22"/>
        </w:rPr>
        <w:t xml:space="preserve">Zhotovitel se zavazuje, že poskytne potřebné spolupůsobení při výkonu finanční kontroly a umožní přístup k potřebným dokladům vč. smluv a souvisejících dokumentů, které podléhají ochraně podle zvláštních právních předpisů (např. obchodní tajemství, utajované skutečnosti) za předpokladu, že budou splněny požadavky kladené právními předpisy (např. zákon č. 255/2012 Sb., o kontrole), a to po celou dobu realizace díla a dále minimálně do uplynutí lhůty </w:t>
      </w:r>
      <w:r w:rsidR="00C16C2A" w:rsidRPr="00D74698">
        <w:rPr>
          <w:rFonts w:ascii="Arial" w:hAnsi="Arial" w:cs="Arial"/>
          <w:iCs/>
          <w:snapToGrid w:val="0"/>
          <w:sz w:val="22"/>
        </w:rPr>
        <w:t>stanove</w:t>
      </w:r>
      <w:r w:rsidR="00A11623" w:rsidRPr="00D74698">
        <w:rPr>
          <w:rFonts w:ascii="Arial" w:hAnsi="Arial" w:cs="Arial"/>
          <w:iCs/>
          <w:snapToGrid w:val="0"/>
          <w:sz w:val="22"/>
        </w:rPr>
        <w:t>né poskytovatelem dotace. Stejné podmínky spolupůsobení při výkonu finanční kontroly se Zhotovitel zavazuje zajistit u svých poddodavatelů.</w:t>
      </w:r>
    </w:p>
    <w:p w14:paraId="13DD89D9" w14:textId="3A257960" w:rsidR="00F77E11" w:rsidRPr="00D74698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25763CB" w:rsidR="00742A02" w:rsidRPr="00D74698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74698">
        <w:rPr>
          <w:rFonts w:ascii="Arial" w:hAnsi="Arial" w:cs="Arial"/>
          <w:spacing w:val="6"/>
          <w:sz w:val="22"/>
        </w:rPr>
        <w:t>Zhotovitel</w:t>
      </w:r>
      <w:r w:rsidR="00742A02" w:rsidRPr="00D74698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D74698">
        <w:rPr>
          <w:rFonts w:ascii="Arial" w:hAnsi="Arial" w:cs="Arial"/>
          <w:sz w:val="22"/>
        </w:rPr>
        <w:t xml:space="preserve"> dokladů minimálně do konce roku </w:t>
      </w:r>
      <w:r w:rsidR="00E173A8" w:rsidRPr="00D74698">
        <w:rPr>
          <w:rFonts w:ascii="Arial" w:hAnsi="Arial" w:cs="Arial"/>
          <w:sz w:val="22"/>
        </w:rPr>
        <w:t>2032</w:t>
      </w:r>
      <w:r w:rsidR="00742A02" w:rsidRPr="00D74698">
        <w:rPr>
          <w:rFonts w:ascii="Arial" w:hAnsi="Arial" w:cs="Arial"/>
          <w:sz w:val="22"/>
        </w:rPr>
        <w:t>.</w:t>
      </w:r>
    </w:p>
    <w:p w14:paraId="102AA305" w14:textId="77777777" w:rsidR="00742A02" w:rsidRPr="00D74698" w:rsidRDefault="00742A02" w:rsidP="00742A02">
      <w:pPr>
        <w:pStyle w:val="Odstavecseseznamem"/>
        <w:rPr>
          <w:rFonts w:ascii="Arial" w:hAnsi="Arial" w:cs="Arial"/>
        </w:rPr>
      </w:pPr>
    </w:p>
    <w:p w14:paraId="4EBCACC4" w14:textId="47BEBA1C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74698">
        <w:rPr>
          <w:rFonts w:ascii="Arial" w:hAnsi="Arial" w:cs="Arial"/>
          <w:spacing w:val="6"/>
          <w:sz w:val="22"/>
        </w:rPr>
        <w:t>Zhotovitel</w:t>
      </w:r>
      <w:r w:rsidR="00742A02" w:rsidRPr="00D74698">
        <w:rPr>
          <w:rFonts w:ascii="Arial" w:hAnsi="Arial" w:cs="Arial"/>
          <w:spacing w:val="6"/>
          <w:sz w:val="22"/>
        </w:rPr>
        <w:t xml:space="preserve"> je pov</w:t>
      </w:r>
      <w:r w:rsidR="00E173A8" w:rsidRPr="00D74698">
        <w:rPr>
          <w:rFonts w:ascii="Arial" w:hAnsi="Arial" w:cs="Arial"/>
          <w:spacing w:val="6"/>
          <w:sz w:val="22"/>
        </w:rPr>
        <w:t>inen minimálně do konce roku 2032</w:t>
      </w:r>
      <w:r w:rsidR="00742A02" w:rsidRPr="00D74698">
        <w:rPr>
          <w:rFonts w:ascii="Arial" w:hAnsi="Arial" w:cs="Arial"/>
          <w:spacing w:val="6"/>
          <w:sz w:val="22"/>
        </w:rPr>
        <w:t xml:space="preserve"> po</w:t>
      </w:r>
      <w:r w:rsidR="008F28F0" w:rsidRPr="00D74698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 w:rsidRPr="00D74698">
        <w:rPr>
          <w:rFonts w:ascii="Arial" w:hAnsi="Arial" w:cs="Arial"/>
          <w:spacing w:val="6"/>
          <w:sz w:val="22"/>
        </w:rPr>
        <w:t xml:space="preserve">a </w:t>
      </w:r>
      <w:r w:rsidR="00742A02" w:rsidRPr="00D74698">
        <w:rPr>
          <w:rFonts w:ascii="Arial" w:hAnsi="Arial" w:cs="Arial"/>
          <w:spacing w:val="6"/>
          <w:sz w:val="22"/>
        </w:rPr>
        <w:t>dokumentaci</w:t>
      </w:r>
      <w:r w:rsidR="00742A02" w:rsidRPr="00D74698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D74698">
        <w:rPr>
          <w:rFonts w:ascii="Arial" w:hAnsi="Arial" w:cs="Arial"/>
          <w:spacing w:val="6"/>
          <w:sz w:val="22"/>
        </w:rPr>
        <w:t xml:space="preserve">vytvořit výše uvedeným osobám podmínky k provedení kontroly </w:t>
      </w:r>
      <w:r w:rsidR="00742A02" w:rsidRPr="008C24E8">
        <w:rPr>
          <w:rFonts w:ascii="Arial" w:hAnsi="Arial" w:cs="Arial"/>
          <w:spacing w:val="6"/>
          <w:sz w:val="22"/>
        </w:rPr>
        <w:t>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1FEB77DC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</w:t>
      </w:r>
      <w:r w:rsidR="00B67F70">
        <w:rPr>
          <w:rFonts w:ascii="Arial" w:hAnsi="Arial" w:cs="Arial"/>
          <w:sz w:val="22"/>
        </w:rPr>
        <w:t xml:space="preserve"> a účinnosti</w:t>
      </w:r>
      <w:r>
        <w:rPr>
          <w:rFonts w:ascii="Arial" w:hAnsi="Arial" w:cs="Arial"/>
          <w:sz w:val="22"/>
        </w:rPr>
        <w:t xml:space="preserve">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 w:rsidR="00B470DF">
        <w:rPr>
          <w:rFonts w:ascii="Arial" w:hAnsi="Arial" w:cs="Arial"/>
          <w:sz w:val="22"/>
        </w:rPr>
        <w:t>.</w:t>
      </w:r>
    </w:p>
    <w:p w14:paraId="7120EDF2" w14:textId="77777777" w:rsidR="00B67F70" w:rsidRDefault="00B67F70" w:rsidP="00B67F70">
      <w:pPr>
        <w:pStyle w:val="Odstavecseseznamem"/>
        <w:rPr>
          <w:rFonts w:ascii="Arial" w:hAnsi="Arial" w:cs="Arial"/>
        </w:rPr>
      </w:pPr>
    </w:p>
    <w:p w14:paraId="2761FAA1" w14:textId="34195F38" w:rsidR="00B67F70" w:rsidRDefault="00B67F70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byla projednána na jednání Rady města Velká Bíteš dne …………… a byla schvále</w:t>
      </w:r>
      <w:r w:rsidR="00E173A8">
        <w:rPr>
          <w:rFonts w:ascii="Arial" w:hAnsi="Arial" w:cs="Arial"/>
          <w:sz w:val="22"/>
        </w:rPr>
        <w:t>na usnesením č. …../…../….</w:t>
      </w:r>
      <w:r>
        <w:rPr>
          <w:rFonts w:ascii="Arial" w:hAnsi="Arial" w:cs="Arial"/>
          <w:sz w:val="22"/>
        </w:rPr>
        <w:t>/RM.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2D7A61CA" w:rsidR="00501351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4B065A59" w14:textId="77777777" w:rsidR="00B67F70" w:rsidRPr="009A50B9" w:rsidRDefault="00B67F70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1A6FC74B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</w:t>
      </w:r>
      <w:r w:rsidR="001D651E">
        <w:rPr>
          <w:rFonts w:ascii="Arial" w:eastAsia="MS Mincho" w:hAnsi="Arial" w:cs="Arial"/>
        </w:rPr>
        <w:t xml:space="preserve">e Velké Bíteši </w:t>
      </w:r>
      <w:r w:rsidRPr="009A50B9">
        <w:rPr>
          <w:rFonts w:ascii="Arial" w:eastAsia="MS Mincho" w:hAnsi="Arial" w:cs="Arial"/>
        </w:rPr>
        <w:t xml:space="preserve">dne </w:t>
      </w:r>
      <w:r w:rsidR="001D651E">
        <w:rPr>
          <w:rFonts w:ascii="Arial" w:eastAsia="MS Mincho" w:hAnsi="Arial" w:cs="Arial"/>
        </w:rPr>
        <w:t>…………………….</w:t>
      </w:r>
      <w:r w:rsidRPr="009A50B9">
        <w:rPr>
          <w:rFonts w:ascii="Arial" w:eastAsia="MS Mincho" w:hAnsi="Arial" w:cs="Arial"/>
        </w:rPr>
        <w:tab/>
        <w:t>V </w:t>
      </w:r>
      <w:r w:rsidR="001D651E">
        <w:rPr>
          <w:rFonts w:ascii="Arial" w:eastAsia="MS Mincho" w:hAnsi="Arial" w:cs="Arial"/>
        </w:rPr>
        <w:t>………………..</w:t>
      </w:r>
      <w:r w:rsidRPr="009A50B9">
        <w:rPr>
          <w:rFonts w:ascii="Arial" w:eastAsia="MS Mincho" w:hAnsi="Arial" w:cs="Arial"/>
        </w:rPr>
        <w:t xml:space="preserve"> dne</w:t>
      </w:r>
      <w:r w:rsidR="001D651E">
        <w:rPr>
          <w:rFonts w:ascii="Arial" w:eastAsia="MS Mincho" w:hAnsi="Arial" w:cs="Arial"/>
        </w:rPr>
        <w:t xml:space="preserve"> …………..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F1AC7E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73494D" w14:textId="77777777" w:rsidR="001D651E" w:rsidRDefault="001D651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30F5C02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D9687D" w14:textId="77777777" w:rsidR="00B67F70" w:rsidRDefault="00B67F70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D1D1FE4" w14:textId="77777777" w:rsidR="001D651E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</w:t>
      </w:r>
      <w:r w:rsidR="001D651E">
        <w:rPr>
          <w:rFonts w:ascii="Arial" w:eastAsia="MS Mincho" w:hAnsi="Arial" w:cs="Arial"/>
        </w:rPr>
        <w:t xml:space="preserve">Milan Vlček </w:t>
      </w:r>
    </w:p>
    <w:p w14:paraId="75EB21E2" w14:textId="77777777" w:rsidR="001D651E" w:rsidRDefault="001D651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Starosta města </w:t>
      </w:r>
    </w:p>
    <w:sectPr w:rsidR="001D651E" w:rsidSect="00CA456C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41DC9" w14:textId="77777777" w:rsidR="003777EB" w:rsidRDefault="003777EB">
      <w:r>
        <w:separator/>
      </w:r>
    </w:p>
  </w:endnote>
  <w:endnote w:type="continuationSeparator" w:id="0">
    <w:p w14:paraId="01F304EB" w14:textId="77777777" w:rsidR="003777EB" w:rsidRDefault="0037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9A359E" w:rsidRDefault="009A35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9A359E" w:rsidRDefault="009A35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7C057F95" w:rsidR="009A359E" w:rsidRDefault="009A359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7754F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7754F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35AD426F" w:rsidR="009A359E" w:rsidRDefault="009A359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7754F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7754F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4C0B9" w14:textId="77777777" w:rsidR="003777EB" w:rsidRDefault="003777EB">
      <w:r>
        <w:separator/>
      </w:r>
    </w:p>
  </w:footnote>
  <w:footnote w:type="continuationSeparator" w:id="0">
    <w:p w14:paraId="71772EC9" w14:textId="77777777" w:rsidR="003777EB" w:rsidRDefault="0037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9A359E" w:rsidRPr="00BB2481" w:rsidRDefault="009A359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9A359E" w:rsidRPr="00BB2481" w:rsidRDefault="009A359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9A359E" w:rsidRDefault="009A35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7A333E2"/>
    <w:multiLevelType w:val="hybridMultilevel"/>
    <w:tmpl w:val="D79AE65A"/>
    <w:lvl w:ilvl="0" w:tplc="1B62C4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A2A3F72"/>
    <w:multiLevelType w:val="hybridMultilevel"/>
    <w:tmpl w:val="A8D2FAF6"/>
    <w:lvl w:ilvl="0" w:tplc="2C40F3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C1778BA"/>
    <w:multiLevelType w:val="hybridMultilevel"/>
    <w:tmpl w:val="A4AE27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5E12ECA"/>
    <w:multiLevelType w:val="hybridMultilevel"/>
    <w:tmpl w:val="7042EDC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6"/>
  </w:num>
  <w:num w:numId="9">
    <w:abstractNumId w:val="39"/>
  </w:num>
  <w:num w:numId="10">
    <w:abstractNumId w:val="51"/>
  </w:num>
  <w:num w:numId="11">
    <w:abstractNumId w:val="45"/>
  </w:num>
  <w:num w:numId="12">
    <w:abstractNumId w:val="15"/>
  </w:num>
  <w:num w:numId="13">
    <w:abstractNumId w:val="31"/>
  </w:num>
  <w:num w:numId="14">
    <w:abstractNumId w:val="52"/>
  </w:num>
  <w:num w:numId="15">
    <w:abstractNumId w:val="20"/>
  </w:num>
  <w:num w:numId="16">
    <w:abstractNumId w:val="33"/>
  </w:num>
  <w:num w:numId="17">
    <w:abstractNumId w:val="26"/>
  </w:num>
  <w:num w:numId="18">
    <w:abstractNumId w:val="42"/>
  </w:num>
  <w:num w:numId="19">
    <w:abstractNumId w:val="47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4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0"/>
  </w:num>
  <w:num w:numId="29">
    <w:abstractNumId w:val="30"/>
  </w:num>
  <w:num w:numId="30">
    <w:abstractNumId w:val="24"/>
  </w:num>
  <w:num w:numId="31">
    <w:abstractNumId w:val="35"/>
  </w:num>
  <w:num w:numId="32">
    <w:abstractNumId w:val="40"/>
  </w:num>
  <w:num w:numId="33">
    <w:abstractNumId w:val="56"/>
  </w:num>
  <w:num w:numId="34">
    <w:abstractNumId w:val="27"/>
  </w:num>
  <w:num w:numId="35">
    <w:abstractNumId w:val="37"/>
  </w:num>
  <w:num w:numId="36">
    <w:abstractNumId w:val="55"/>
  </w:num>
  <w:num w:numId="37">
    <w:abstractNumId w:val="18"/>
  </w:num>
  <w:num w:numId="38">
    <w:abstractNumId w:val="53"/>
  </w:num>
  <w:num w:numId="39">
    <w:abstractNumId w:val="22"/>
  </w:num>
  <w:num w:numId="40">
    <w:abstractNumId w:val="14"/>
  </w:num>
  <w:num w:numId="41">
    <w:abstractNumId w:val="29"/>
  </w:num>
  <w:num w:numId="42">
    <w:abstractNumId w:val="4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1E2F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A314D"/>
    <w:rsid w:val="000A5502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7D6B"/>
    <w:rsid w:val="000E0296"/>
    <w:rsid w:val="000E2318"/>
    <w:rsid w:val="000E2DEF"/>
    <w:rsid w:val="000E4B5F"/>
    <w:rsid w:val="000E5380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AE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16D3"/>
    <w:rsid w:val="00193FEE"/>
    <w:rsid w:val="00194EA3"/>
    <w:rsid w:val="001A1F6F"/>
    <w:rsid w:val="001A24DB"/>
    <w:rsid w:val="001A5D86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651E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06B8"/>
    <w:rsid w:val="002634E8"/>
    <w:rsid w:val="00263A5B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21C4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BE4"/>
    <w:rsid w:val="002E4B57"/>
    <w:rsid w:val="002F1F3C"/>
    <w:rsid w:val="002F2076"/>
    <w:rsid w:val="002F2E3E"/>
    <w:rsid w:val="002F351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311D"/>
    <w:rsid w:val="00324041"/>
    <w:rsid w:val="003256D6"/>
    <w:rsid w:val="00332DD9"/>
    <w:rsid w:val="003343DB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7339"/>
    <w:rsid w:val="003777EB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07110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40D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749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71FF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4DE7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623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2B8C"/>
    <w:rsid w:val="00616FDD"/>
    <w:rsid w:val="006200CA"/>
    <w:rsid w:val="00624428"/>
    <w:rsid w:val="00624E2B"/>
    <w:rsid w:val="00625DC1"/>
    <w:rsid w:val="0062687E"/>
    <w:rsid w:val="00627070"/>
    <w:rsid w:val="00627A55"/>
    <w:rsid w:val="00627B17"/>
    <w:rsid w:val="00632C61"/>
    <w:rsid w:val="006336FC"/>
    <w:rsid w:val="00634140"/>
    <w:rsid w:val="0063440E"/>
    <w:rsid w:val="00635696"/>
    <w:rsid w:val="0063592F"/>
    <w:rsid w:val="00635B70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4C88"/>
    <w:rsid w:val="0065515A"/>
    <w:rsid w:val="00655BE6"/>
    <w:rsid w:val="006560BA"/>
    <w:rsid w:val="006621F4"/>
    <w:rsid w:val="00665E93"/>
    <w:rsid w:val="00671346"/>
    <w:rsid w:val="00671678"/>
    <w:rsid w:val="0067186E"/>
    <w:rsid w:val="00671E53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3E53"/>
    <w:rsid w:val="006B46AF"/>
    <w:rsid w:val="006B6017"/>
    <w:rsid w:val="006B6CA0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2E0"/>
    <w:rsid w:val="0070081E"/>
    <w:rsid w:val="007017AF"/>
    <w:rsid w:val="00703067"/>
    <w:rsid w:val="007034B9"/>
    <w:rsid w:val="00704A85"/>
    <w:rsid w:val="0070666E"/>
    <w:rsid w:val="007067BB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0807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86C2E"/>
    <w:rsid w:val="00790B62"/>
    <w:rsid w:val="00790FCF"/>
    <w:rsid w:val="00791E17"/>
    <w:rsid w:val="007952CD"/>
    <w:rsid w:val="00796011"/>
    <w:rsid w:val="007966B6"/>
    <w:rsid w:val="00797297"/>
    <w:rsid w:val="007A1B6C"/>
    <w:rsid w:val="007A22FA"/>
    <w:rsid w:val="007A48A1"/>
    <w:rsid w:val="007A7349"/>
    <w:rsid w:val="007A74BD"/>
    <w:rsid w:val="007B1496"/>
    <w:rsid w:val="007B1DDB"/>
    <w:rsid w:val="007B31D7"/>
    <w:rsid w:val="007B3DE7"/>
    <w:rsid w:val="007B4525"/>
    <w:rsid w:val="007B54D8"/>
    <w:rsid w:val="007B74D6"/>
    <w:rsid w:val="007C34A7"/>
    <w:rsid w:val="007C5D13"/>
    <w:rsid w:val="007C5D89"/>
    <w:rsid w:val="007D0353"/>
    <w:rsid w:val="007D11CB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8674C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0DF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979A9"/>
    <w:rsid w:val="009A0EE2"/>
    <w:rsid w:val="009A2013"/>
    <w:rsid w:val="009A359E"/>
    <w:rsid w:val="009A50B9"/>
    <w:rsid w:val="009A50FF"/>
    <w:rsid w:val="009A51E4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3E0"/>
    <w:rsid w:val="00A02591"/>
    <w:rsid w:val="00A05420"/>
    <w:rsid w:val="00A05F13"/>
    <w:rsid w:val="00A05F2D"/>
    <w:rsid w:val="00A066D7"/>
    <w:rsid w:val="00A11341"/>
    <w:rsid w:val="00A11453"/>
    <w:rsid w:val="00A1162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7853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2D8A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3CFD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B7C89"/>
    <w:rsid w:val="00AC26EE"/>
    <w:rsid w:val="00AC3462"/>
    <w:rsid w:val="00AC3BC8"/>
    <w:rsid w:val="00AC562D"/>
    <w:rsid w:val="00AC7660"/>
    <w:rsid w:val="00AD04E1"/>
    <w:rsid w:val="00AD06D8"/>
    <w:rsid w:val="00AD63E0"/>
    <w:rsid w:val="00AE21FB"/>
    <w:rsid w:val="00AE3818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67F70"/>
    <w:rsid w:val="00B7182D"/>
    <w:rsid w:val="00B7231B"/>
    <w:rsid w:val="00B725ED"/>
    <w:rsid w:val="00B73759"/>
    <w:rsid w:val="00B73C06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5A40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6C2A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3E06"/>
    <w:rsid w:val="00CA456C"/>
    <w:rsid w:val="00CA4F28"/>
    <w:rsid w:val="00CB075A"/>
    <w:rsid w:val="00CB07CC"/>
    <w:rsid w:val="00CB1749"/>
    <w:rsid w:val="00CB59B3"/>
    <w:rsid w:val="00CB6D3B"/>
    <w:rsid w:val="00CB79C1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93D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4698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3071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343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3A8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7754F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52A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96DE3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08A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32D9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2E65D-2FCA-4C86-AB1D-CDEE0802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19</Pages>
  <Words>9302</Words>
  <Characters>54883</Characters>
  <Application>Microsoft Office Word</Application>
  <DocSecurity>0</DocSecurity>
  <Lines>457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20</cp:revision>
  <cp:lastPrinted>2021-04-12T09:44:00Z</cp:lastPrinted>
  <dcterms:created xsi:type="dcterms:W3CDTF">2021-04-08T09:02:00Z</dcterms:created>
  <dcterms:modified xsi:type="dcterms:W3CDTF">2021-04-14T13:30:00Z</dcterms:modified>
</cp:coreProperties>
</file>